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08AC" w14:textId="77777777" w:rsidR="00972569" w:rsidRDefault="00972569" w:rsidP="00972569">
      <w:pPr>
        <w:pStyle w:val="31"/>
        <w:shd w:val="clear" w:color="auto" w:fill="auto"/>
        <w:spacing w:line="240" w:lineRule="auto"/>
        <w:jc w:val="right"/>
        <w:rPr>
          <w:sz w:val="16"/>
        </w:rPr>
      </w:pPr>
      <w:r>
        <w:rPr>
          <w:sz w:val="16"/>
        </w:rPr>
        <w:t>Приложение 3</w:t>
      </w:r>
    </w:p>
    <w:p w14:paraId="0686A181" w14:textId="77777777" w:rsidR="00972569" w:rsidRDefault="00972569" w:rsidP="00972569">
      <w:pPr>
        <w:pStyle w:val="31"/>
        <w:shd w:val="clear" w:color="auto" w:fill="auto"/>
        <w:spacing w:line="240" w:lineRule="auto"/>
        <w:jc w:val="right"/>
        <w:rPr>
          <w:sz w:val="16"/>
        </w:rPr>
      </w:pPr>
      <w:r>
        <w:rPr>
          <w:sz w:val="16"/>
        </w:rPr>
        <w:t>к Условиям осуществления деятельности по</w:t>
      </w:r>
    </w:p>
    <w:p w14:paraId="75EE7E71" w14:textId="77777777" w:rsidR="00972569" w:rsidRDefault="00972569" w:rsidP="00972569">
      <w:pPr>
        <w:pStyle w:val="31"/>
        <w:shd w:val="clear" w:color="auto" w:fill="auto"/>
        <w:spacing w:line="240" w:lineRule="auto"/>
        <w:jc w:val="right"/>
        <w:rPr>
          <w:sz w:val="16"/>
        </w:rPr>
      </w:pPr>
      <w:r>
        <w:rPr>
          <w:sz w:val="16"/>
        </w:rPr>
        <w:t>доверительному управлению</w:t>
      </w:r>
    </w:p>
    <w:p w14:paraId="5975B82D" w14:textId="77777777" w:rsidR="00972569" w:rsidRDefault="00972569" w:rsidP="00972569">
      <w:pPr>
        <w:pStyle w:val="2"/>
        <w:shd w:val="clear" w:color="auto" w:fill="auto"/>
        <w:spacing w:before="0" w:after="0" w:line="240" w:lineRule="auto"/>
        <w:ind w:firstLine="0"/>
        <w:jc w:val="both"/>
        <w:rPr>
          <w:sz w:val="18"/>
        </w:rPr>
      </w:pPr>
    </w:p>
    <w:p w14:paraId="14276B65" w14:textId="77777777" w:rsidR="00972569" w:rsidRDefault="00972569" w:rsidP="00972569">
      <w:pPr>
        <w:pStyle w:val="200"/>
        <w:shd w:val="clear" w:color="auto" w:fill="auto"/>
        <w:spacing w:before="0" w:after="0" w:line="240" w:lineRule="auto"/>
        <w:jc w:val="both"/>
        <w:rPr>
          <w:b/>
          <w:sz w:val="18"/>
        </w:rPr>
      </w:pPr>
    </w:p>
    <w:p w14:paraId="474FBB63" w14:textId="77777777" w:rsidR="00972569" w:rsidRDefault="00972569" w:rsidP="00972569">
      <w:pPr>
        <w:pStyle w:val="200"/>
        <w:shd w:val="clear" w:color="auto" w:fill="auto"/>
        <w:spacing w:before="0" w:after="0" w:line="240" w:lineRule="auto"/>
        <w:jc w:val="center"/>
        <w:rPr>
          <w:b/>
          <w:sz w:val="18"/>
        </w:rPr>
      </w:pPr>
      <w:r>
        <w:rPr>
          <w:b/>
          <w:sz w:val="18"/>
        </w:rPr>
        <w:t>ПЕРЕЧЕНЬ МЕР ПО НЕДОПУЩЕНИЮ КОНФЛИКТА ИНТЕРЕСОВ ПРИ ОСУЩЕСТВЛЕНИИ ДЕЯТЕЛЬНОСТИ ПО ДОВЕРИТЕЛЬНОМУ УПРАВЛЕНИЮ.</w:t>
      </w:r>
    </w:p>
    <w:p w14:paraId="58D4998F" w14:textId="77777777" w:rsidR="00972569" w:rsidRDefault="00972569" w:rsidP="00972569">
      <w:pPr>
        <w:pStyle w:val="2"/>
        <w:shd w:val="clear" w:color="auto" w:fill="auto"/>
        <w:spacing w:before="0" w:after="0" w:line="240" w:lineRule="auto"/>
        <w:ind w:firstLine="0"/>
        <w:jc w:val="both"/>
        <w:rPr>
          <w:sz w:val="18"/>
        </w:rPr>
      </w:pPr>
    </w:p>
    <w:p w14:paraId="6F13DF8F" w14:textId="77777777" w:rsidR="00972569" w:rsidRDefault="00972569" w:rsidP="00972569">
      <w:pPr>
        <w:pStyle w:val="3"/>
        <w:numPr>
          <w:ilvl w:val="0"/>
          <w:numId w:val="1"/>
        </w:numPr>
        <w:shd w:val="clear" w:color="auto" w:fill="auto"/>
        <w:tabs>
          <w:tab w:val="left" w:pos="463"/>
        </w:tabs>
        <w:spacing w:before="0" w:after="0" w:line="240" w:lineRule="auto"/>
        <w:rPr>
          <w:sz w:val="18"/>
        </w:rPr>
      </w:pPr>
      <w:bookmarkStart w:id="0" w:name="bookmark57"/>
      <w:r>
        <w:rPr>
          <w:sz w:val="18"/>
        </w:rPr>
        <w:t>Общие Положения</w:t>
      </w:r>
      <w:bookmarkEnd w:id="0"/>
    </w:p>
    <w:p w14:paraId="68745E44" w14:textId="77777777" w:rsidR="00972569" w:rsidRDefault="00972569" w:rsidP="00972569">
      <w:pPr>
        <w:pStyle w:val="2"/>
        <w:numPr>
          <w:ilvl w:val="1"/>
          <w:numId w:val="1"/>
        </w:numPr>
        <w:shd w:val="clear" w:color="auto" w:fill="auto"/>
        <w:tabs>
          <w:tab w:val="left" w:pos="494"/>
        </w:tabs>
        <w:spacing w:before="0" w:after="0" w:line="240" w:lineRule="auto"/>
        <w:ind w:firstLine="0"/>
        <w:jc w:val="both"/>
        <w:rPr>
          <w:sz w:val="18"/>
        </w:rPr>
      </w:pPr>
      <w:r>
        <w:rPr>
          <w:sz w:val="18"/>
        </w:rPr>
        <w:t>Настоящий Перечень мер по недопущению конфликта интересов при осуществлении деятельности по доверительному управлению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53515781" w14:textId="77777777" w:rsidR="00972569" w:rsidRDefault="00972569" w:rsidP="00972569">
      <w:pPr>
        <w:pStyle w:val="2"/>
        <w:numPr>
          <w:ilvl w:val="1"/>
          <w:numId w:val="1"/>
        </w:numPr>
        <w:shd w:val="clear" w:color="auto" w:fill="auto"/>
        <w:tabs>
          <w:tab w:val="left" w:pos="471"/>
        </w:tabs>
        <w:spacing w:after="115" w:line="170" w:lineRule="exact"/>
        <w:ind w:firstLine="0"/>
        <w:jc w:val="both"/>
        <w:rPr>
          <w:sz w:val="18"/>
        </w:rPr>
      </w:pPr>
      <w:r>
        <w:rPr>
          <w:sz w:val="18"/>
        </w:rPr>
        <w:t>В настоящем Перечне мер используются следующие термины и определения:</w:t>
      </w:r>
    </w:p>
    <w:p w14:paraId="7296D2EA" w14:textId="77777777" w:rsidR="00972569" w:rsidRDefault="00972569" w:rsidP="00972569">
      <w:pPr>
        <w:pStyle w:val="2"/>
        <w:shd w:val="clear" w:color="auto" w:fill="auto"/>
        <w:spacing w:before="0"/>
        <w:ind w:firstLine="0"/>
        <w:jc w:val="both"/>
        <w:rPr>
          <w:sz w:val="18"/>
        </w:rPr>
      </w:pPr>
      <w:r>
        <w:rPr>
          <w:rStyle w:val="21"/>
          <w:sz w:val="18"/>
        </w:rPr>
        <w:t xml:space="preserve">Сотрудники </w:t>
      </w:r>
      <w:r>
        <w:rPr>
          <w:sz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1F266028" w14:textId="77777777" w:rsidR="00972569" w:rsidRDefault="00972569" w:rsidP="00972569">
      <w:pPr>
        <w:pStyle w:val="2"/>
        <w:shd w:val="clear" w:color="auto" w:fill="auto"/>
        <w:spacing w:before="0" w:after="0"/>
        <w:ind w:firstLine="0"/>
        <w:jc w:val="both"/>
        <w:rPr>
          <w:sz w:val="18"/>
        </w:rPr>
      </w:pPr>
      <w:r>
        <w:rPr>
          <w:rStyle w:val="21"/>
          <w:sz w:val="18"/>
        </w:rPr>
        <w:t xml:space="preserve">Конфиденциальная информация </w:t>
      </w:r>
      <w:r>
        <w:rPr>
          <w:sz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РФ, внутренними документами Доверительного управляющего и/или Договорами между Доверительным управляющим и Учредителями управления.</w:t>
      </w:r>
    </w:p>
    <w:p w14:paraId="1E43AFD5" w14:textId="77777777" w:rsidR="00972569" w:rsidRDefault="00972569" w:rsidP="00972569">
      <w:pPr>
        <w:spacing w:after="0" w:line="240" w:lineRule="auto"/>
        <w:jc w:val="both"/>
        <w:rPr>
          <w:rFonts w:ascii="Verdana" w:hAnsi="Verdana"/>
          <w:color w:val="000000"/>
          <w:sz w:val="18"/>
        </w:rPr>
      </w:pPr>
    </w:p>
    <w:p w14:paraId="25BD34EE" w14:textId="77777777" w:rsidR="00972569" w:rsidRDefault="00972569" w:rsidP="00972569">
      <w:pPr>
        <w:numPr>
          <w:ilvl w:val="0"/>
          <w:numId w:val="1"/>
        </w:numPr>
        <w:spacing w:after="0" w:line="240" w:lineRule="auto"/>
        <w:jc w:val="both"/>
        <w:rPr>
          <w:rFonts w:ascii="Verdana" w:hAnsi="Verdana"/>
          <w:color w:val="000000"/>
          <w:sz w:val="18"/>
        </w:rPr>
      </w:pPr>
      <w:r>
        <w:rPr>
          <w:rFonts w:ascii="Verdana" w:hAnsi="Verdana"/>
          <w:b/>
          <w:color w:val="000000"/>
          <w:sz w:val="18"/>
        </w:rPr>
        <w:t xml:space="preserve">Принципы профессиональной деятельности </w:t>
      </w:r>
    </w:p>
    <w:p w14:paraId="66A44AED" w14:textId="77777777" w:rsidR="00972569" w:rsidRDefault="00972569" w:rsidP="00972569">
      <w:pPr>
        <w:spacing w:after="0" w:line="240" w:lineRule="auto"/>
        <w:jc w:val="both"/>
        <w:rPr>
          <w:rFonts w:ascii="Verdana" w:hAnsi="Verdana"/>
          <w:b/>
          <w:color w:val="000000"/>
          <w:sz w:val="18"/>
        </w:rPr>
      </w:pPr>
    </w:p>
    <w:p w14:paraId="47DB5657"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448C2531" w14:textId="77777777" w:rsidR="00972569" w:rsidRDefault="00972569" w:rsidP="00972569">
      <w:pPr>
        <w:pStyle w:val="2"/>
        <w:numPr>
          <w:ilvl w:val="1"/>
          <w:numId w:val="1"/>
        </w:numPr>
        <w:shd w:val="clear" w:color="auto" w:fill="auto"/>
        <w:tabs>
          <w:tab w:val="left" w:pos="494"/>
        </w:tabs>
        <w:spacing w:before="0"/>
        <w:ind w:firstLine="0"/>
        <w:jc w:val="both"/>
        <w:rPr>
          <w:sz w:val="18"/>
        </w:rPr>
      </w:pPr>
      <w:r>
        <w:rPr>
          <w:sz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4F7B9D9E" w14:textId="77777777" w:rsidR="00972569" w:rsidRDefault="00972569" w:rsidP="00972569">
      <w:pPr>
        <w:pStyle w:val="2"/>
        <w:numPr>
          <w:ilvl w:val="1"/>
          <w:numId w:val="1"/>
        </w:numPr>
        <w:shd w:val="clear" w:color="auto" w:fill="auto"/>
        <w:tabs>
          <w:tab w:val="left" w:pos="494"/>
        </w:tabs>
        <w:spacing w:before="0"/>
        <w:ind w:firstLine="0"/>
        <w:jc w:val="both"/>
        <w:rPr>
          <w:sz w:val="18"/>
        </w:rPr>
      </w:pPr>
      <w:r>
        <w:rPr>
          <w:sz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545AA7EA" w14:textId="77777777" w:rsidR="00972569" w:rsidRDefault="00972569" w:rsidP="00972569">
      <w:pPr>
        <w:pStyle w:val="2"/>
        <w:numPr>
          <w:ilvl w:val="1"/>
          <w:numId w:val="1"/>
        </w:numPr>
        <w:shd w:val="clear" w:color="auto" w:fill="auto"/>
        <w:tabs>
          <w:tab w:val="left" w:pos="494"/>
        </w:tabs>
        <w:spacing w:before="0"/>
        <w:ind w:firstLine="0"/>
        <w:jc w:val="both"/>
        <w:rPr>
          <w:sz w:val="18"/>
        </w:rPr>
      </w:pPr>
      <w:r>
        <w:rPr>
          <w:sz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РФ, требованиям внутренних нормативных документов Доверительного управляющего или Договоров, заключенных с Учредителями управления.</w:t>
      </w:r>
    </w:p>
    <w:p w14:paraId="34E89CF7" w14:textId="77777777" w:rsidR="00972569" w:rsidRDefault="00972569" w:rsidP="00972569">
      <w:pPr>
        <w:pStyle w:val="2"/>
        <w:numPr>
          <w:ilvl w:val="1"/>
          <w:numId w:val="1"/>
        </w:numPr>
        <w:shd w:val="clear" w:color="auto" w:fill="auto"/>
        <w:tabs>
          <w:tab w:val="left" w:pos="494"/>
        </w:tabs>
        <w:spacing w:before="0" w:after="184"/>
        <w:ind w:firstLine="0"/>
        <w:jc w:val="both"/>
        <w:rPr>
          <w:sz w:val="18"/>
        </w:rPr>
      </w:pPr>
      <w:r>
        <w:rPr>
          <w:sz w:val="18"/>
        </w:rPr>
        <w:t>При осуществлении профессиональной деятельности Доверительный управляющий не вправе злоупотреблять предоставленными ему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5ADA8B37" w14:textId="77777777" w:rsidR="00972569" w:rsidRDefault="00972569" w:rsidP="00972569">
      <w:pPr>
        <w:pStyle w:val="2"/>
        <w:numPr>
          <w:ilvl w:val="1"/>
          <w:numId w:val="1"/>
        </w:numPr>
        <w:shd w:val="clear" w:color="auto" w:fill="auto"/>
        <w:tabs>
          <w:tab w:val="left" w:pos="486"/>
        </w:tabs>
        <w:spacing w:before="0" w:after="176" w:line="202" w:lineRule="exact"/>
        <w:ind w:firstLine="0"/>
        <w:jc w:val="both"/>
        <w:rPr>
          <w:sz w:val="18"/>
        </w:rPr>
      </w:pPr>
      <w:r>
        <w:rPr>
          <w:sz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0D1BB4DF" w14:textId="77777777" w:rsidR="00972569" w:rsidRDefault="00972569" w:rsidP="00972569">
      <w:pPr>
        <w:pStyle w:val="2"/>
        <w:numPr>
          <w:ilvl w:val="1"/>
          <w:numId w:val="1"/>
        </w:numPr>
        <w:shd w:val="clear" w:color="auto" w:fill="auto"/>
        <w:tabs>
          <w:tab w:val="left" w:pos="490"/>
        </w:tabs>
        <w:spacing w:before="0" w:after="0"/>
        <w:ind w:firstLine="0"/>
        <w:jc w:val="both"/>
        <w:rPr>
          <w:sz w:val="18"/>
        </w:rPr>
      </w:pPr>
      <w:r>
        <w:rPr>
          <w:sz w:val="18"/>
        </w:rPr>
        <w:t>Доверительный управляющий обеспечивает внутренний контроль за деятельностью 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Сотрудников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7AF67419" w14:textId="77777777" w:rsidR="00972569" w:rsidRDefault="00972569" w:rsidP="00972569">
      <w:pPr>
        <w:pStyle w:val="2"/>
        <w:shd w:val="clear" w:color="auto" w:fill="auto"/>
        <w:tabs>
          <w:tab w:val="left" w:pos="490"/>
        </w:tabs>
        <w:spacing w:before="0" w:after="0"/>
        <w:ind w:firstLine="0"/>
        <w:jc w:val="both"/>
        <w:rPr>
          <w:sz w:val="18"/>
        </w:rPr>
      </w:pPr>
    </w:p>
    <w:p w14:paraId="5BD0DFE9" w14:textId="77777777" w:rsidR="00972569" w:rsidRDefault="00972569" w:rsidP="00972569">
      <w:pPr>
        <w:pStyle w:val="2"/>
        <w:shd w:val="clear" w:color="auto" w:fill="auto"/>
        <w:tabs>
          <w:tab w:val="left" w:pos="490"/>
        </w:tabs>
        <w:spacing w:before="0" w:after="0"/>
        <w:ind w:firstLine="0"/>
        <w:jc w:val="both"/>
        <w:rPr>
          <w:sz w:val="18"/>
        </w:rPr>
      </w:pPr>
    </w:p>
    <w:p w14:paraId="772ADF28" w14:textId="77777777" w:rsidR="00972569" w:rsidRDefault="00972569" w:rsidP="00972569">
      <w:pPr>
        <w:pStyle w:val="3"/>
        <w:numPr>
          <w:ilvl w:val="0"/>
          <w:numId w:val="1"/>
        </w:numPr>
        <w:shd w:val="clear" w:color="auto" w:fill="auto"/>
        <w:tabs>
          <w:tab w:val="left" w:pos="298"/>
        </w:tabs>
        <w:spacing w:before="0" w:after="115" w:line="170" w:lineRule="exact"/>
        <w:rPr>
          <w:sz w:val="18"/>
        </w:rPr>
      </w:pPr>
      <w:bookmarkStart w:id="1" w:name="bookmark59"/>
      <w:r>
        <w:rPr>
          <w:sz w:val="18"/>
        </w:rPr>
        <w:t>Принципы доверительного управления имуществом Учредителя управления</w:t>
      </w:r>
      <w:bookmarkEnd w:id="1"/>
    </w:p>
    <w:p w14:paraId="42C008DA"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 xml:space="preserve">Решения Доверительного управляющего в отношении заключения / отказа от заключения сделки, </w:t>
      </w:r>
      <w:r>
        <w:rPr>
          <w:sz w:val="18"/>
        </w:rPr>
        <w:lastRenderedPageBreak/>
        <w:t>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5C206ED5" w14:textId="77777777" w:rsidR="00972569" w:rsidRDefault="00972569" w:rsidP="00972569">
      <w:pPr>
        <w:pStyle w:val="2"/>
        <w:numPr>
          <w:ilvl w:val="0"/>
          <w:numId w:val="2"/>
        </w:numPr>
        <w:shd w:val="clear" w:color="auto" w:fill="auto"/>
        <w:tabs>
          <w:tab w:val="left" w:pos="239"/>
        </w:tabs>
        <w:spacing w:before="0" w:after="0"/>
        <w:ind w:firstLine="0"/>
        <w:jc w:val="both"/>
        <w:rPr>
          <w:sz w:val="18"/>
        </w:rPr>
      </w:pPr>
      <w:r>
        <w:rPr>
          <w:sz w:val="18"/>
        </w:rPr>
        <w:t>объемов средств, переданных Учредителями управления в доверительное управление;</w:t>
      </w:r>
    </w:p>
    <w:p w14:paraId="6348C0D6" w14:textId="77777777" w:rsidR="00972569" w:rsidRDefault="00972569" w:rsidP="00972569">
      <w:pPr>
        <w:pStyle w:val="2"/>
        <w:numPr>
          <w:ilvl w:val="0"/>
          <w:numId w:val="2"/>
        </w:numPr>
        <w:shd w:val="clear" w:color="auto" w:fill="auto"/>
        <w:tabs>
          <w:tab w:val="left" w:pos="239"/>
        </w:tabs>
        <w:spacing w:before="0" w:after="0"/>
        <w:ind w:firstLine="0"/>
        <w:jc w:val="both"/>
        <w:rPr>
          <w:sz w:val="18"/>
        </w:rPr>
      </w:pPr>
      <w:r>
        <w:rPr>
          <w:sz w:val="18"/>
        </w:rPr>
        <w:t>длительности договорных взаимоотношений между Учредителями управления и Доверительным управляющим;</w:t>
      </w:r>
    </w:p>
    <w:p w14:paraId="791ABB50" w14:textId="77777777" w:rsidR="00972569" w:rsidRDefault="00972569" w:rsidP="00972569">
      <w:pPr>
        <w:pStyle w:val="2"/>
        <w:numPr>
          <w:ilvl w:val="0"/>
          <w:numId w:val="2"/>
        </w:numPr>
        <w:shd w:val="clear" w:color="auto" w:fill="auto"/>
        <w:tabs>
          <w:tab w:val="left" w:pos="239"/>
        </w:tabs>
        <w:spacing w:before="0" w:after="0"/>
        <w:ind w:firstLine="0"/>
        <w:jc w:val="both"/>
        <w:rPr>
          <w:sz w:val="18"/>
        </w:rPr>
      </w:pPr>
      <w:r>
        <w:rPr>
          <w:sz w:val="18"/>
        </w:rPr>
        <w:t>финансового состояния Учредителей управления;</w:t>
      </w:r>
    </w:p>
    <w:p w14:paraId="1190E9A5" w14:textId="77777777" w:rsidR="00972569" w:rsidRDefault="00972569" w:rsidP="00972569">
      <w:pPr>
        <w:pStyle w:val="2"/>
        <w:numPr>
          <w:ilvl w:val="0"/>
          <w:numId w:val="2"/>
        </w:numPr>
        <w:shd w:val="clear" w:color="auto" w:fill="auto"/>
        <w:tabs>
          <w:tab w:val="left" w:pos="239"/>
        </w:tabs>
        <w:spacing w:before="0" w:after="0"/>
        <w:ind w:left="260" w:hanging="260"/>
        <w:jc w:val="both"/>
        <w:rPr>
          <w:sz w:val="18"/>
        </w:rPr>
      </w:pPr>
      <w:r>
        <w:rPr>
          <w:sz w:val="18"/>
        </w:rPr>
        <w:t>условий выплаты Вознаграждения Доверительному управляющему, предусмотренных Договором доверительного управления;</w:t>
      </w:r>
    </w:p>
    <w:p w14:paraId="7F6022E6" w14:textId="77777777" w:rsidR="00972569" w:rsidRDefault="00972569" w:rsidP="00972569">
      <w:pPr>
        <w:pStyle w:val="2"/>
        <w:numPr>
          <w:ilvl w:val="0"/>
          <w:numId w:val="2"/>
        </w:numPr>
        <w:shd w:val="clear" w:color="auto" w:fill="auto"/>
        <w:tabs>
          <w:tab w:val="left" w:pos="239"/>
        </w:tabs>
        <w:spacing w:before="0"/>
        <w:ind w:firstLine="0"/>
        <w:jc w:val="both"/>
        <w:rPr>
          <w:sz w:val="18"/>
        </w:rPr>
      </w:pPr>
      <w:r>
        <w:rPr>
          <w:sz w:val="18"/>
        </w:rPr>
        <w:t>иных дискриминационных факторов, ставящих Учредителей управления в неравные положения.</w:t>
      </w:r>
    </w:p>
    <w:p w14:paraId="2627C818"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5F3401FB" w14:textId="77777777" w:rsidR="00972569" w:rsidRDefault="00972569" w:rsidP="00972569">
      <w:pPr>
        <w:pStyle w:val="2"/>
        <w:numPr>
          <w:ilvl w:val="1"/>
          <w:numId w:val="1"/>
        </w:numPr>
        <w:shd w:val="clear" w:color="auto" w:fill="auto"/>
        <w:tabs>
          <w:tab w:val="left" w:pos="481"/>
        </w:tabs>
        <w:spacing w:before="0"/>
        <w:ind w:firstLine="0"/>
        <w:jc w:val="both"/>
        <w:rPr>
          <w:sz w:val="18"/>
        </w:rPr>
      </w:pPr>
      <w:r>
        <w:rPr>
          <w:sz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693CDC0A" w14:textId="77777777" w:rsidR="00972569" w:rsidRDefault="00972569" w:rsidP="00972569">
      <w:pPr>
        <w:pStyle w:val="2"/>
        <w:numPr>
          <w:ilvl w:val="1"/>
          <w:numId w:val="1"/>
        </w:numPr>
        <w:shd w:val="clear" w:color="auto" w:fill="auto"/>
        <w:tabs>
          <w:tab w:val="left" w:pos="481"/>
        </w:tabs>
        <w:spacing w:before="0"/>
        <w:ind w:firstLine="0"/>
        <w:jc w:val="both"/>
        <w:rPr>
          <w:sz w:val="18"/>
        </w:rPr>
      </w:pPr>
      <w:r>
        <w:rPr>
          <w:sz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5ED24E03"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4507B5E3" w14:textId="77777777" w:rsidR="00972569" w:rsidRDefault="00972569" w:rsidP="00972569">
      <w:pPr>
        <w:pStyle w:val="2"/>
        <w:numPr>
          <w:ilvl w:val="1"/>
          <w:numId w:val="1"/>
        </w:numPr>
        <w:shd w:val="clear" w:color="auto" w:fill="auto"/>
        <w:tabs>
          <w:tab w:val="left" w:pos="490"/>
        </w:tabs>
        <w:spacing w:before="0"/>
        <w:ind w:firstLine="0"/>
        <w:jc w:val="both"/>
        <w:rPr>
          <w:sz w:val="18"/>
        </w:rPr>
      </w:pPr>
      <w:r>
        <w:rPr>
          <w:sz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53D9956A" w14:textId="77777777" w:rsidR="00972569" w:rsidRDefault="00972569" w:rsidP="00972569">
      <w:pPr>
        <w:pStyle w:val="2"/>
        <w:numPr>
          <w:ilvl w:val="1"/>
          <w:numId w:val="1"/>
        </w:numPr>
        <w:shd w:val="clear" w:color="auto" w:fill="auto"/>
        <w:tabs>
          <w:tab w:val="left" w:pos="490"/>
        </w:tabs>
        <w:spacing w:before="0"/>
        <w:ind w:firstLine="0"/>
        <w:jc w:val="both"/>
        <w:rPr>
          <w:sz w:val="18"/>
        </w:rPr>
      </w:pPr>
      <w:r>
        <w:rPr>
          <w:sz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5D45D614" w14:textId="77777777" w:rsidR="00972569" w:rsidRDefault="00972569" w:rsidP="00972569">
      <w:pPr>
        <w:pStyle w:val="2"/>
        <w:numPr>
          <w:ilvl w:val="1"/>
          <w:numId w:val="1"/>
        </w:numPr>
        <w:shd w:val="clear" w:color="auto" w:fill="auto"/>
        <w:tabs>
          <w:tab w:val="left" w:pos="490"/>
        </w:tabs>
        <w:spacing w:before="0"/>
        <w:ind w:firstLine="0"/>
        <w:jc w:val="both"/>
        <w:rPr>
          <w:sz w:val="18"/>
        </w:rPr>
      </w:pPr>
      <w:r>
        <w:rPr>
          <w:sz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5B329D8C" w14:textId="77777777" w:rsidR="00972569" w:rsidRDefault="00972569" w:rsidP="00972569">
      <w:pPr>
        <w:pStyle w:val="2"/>
        <w:numPr>
          <w:ilvl w:val="1"/>
          <w:numId w:val="1"/>
        </w:numPr>
        <w:shd w:val="clear" w:color="auto" w:fill="auto"/>
        <w:tabs>
          <w:tab w:val="left" w:pos="481"/>
        </w:tabs>
        <w:spacing w:before="0"/>
        <w:ind w:firstLine="0"/>
        <w:jc w:val="both"/>
        <w:rPr>
          <w:sz w:val="18"/>
        </w:rPr>
      </w:pPr>
      <w:r>
        <w:rPr>
          <w:sz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3FD2ED5C" w14:textId="77777777" w:rsidR="00972569" w:rsidRDefault="00972569" w:rsidP="00972569">
      <w:pPr>
        <w:pStyle w:val="2"/>
        <w:numPr>
          <w:ilvl w:val="1"/>
          <w:numId w:val="1"/>
        </w:numPr>
        <w:shd w:val="clear" w:color="auto" w:fill="auto"/>
        <w:tabs>
          <w:tab w:val="left" w:pos="706"/>
        </w:tabs>
        <w:spacing w:before="0" w:after="0"/>
        <w:ind w:firstLine="0"/>
        <w:jc w:val="both"/>
        <w:rPr>
          <w:sz w:val="18"/>
        </w:rPr>
      </w:pPr>
      <w:r>
        <w:rPr>
          <w:sz w:val="18"/>
        </w:rPr>
        <w:t>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интересов, возникшего между Доверительным управляющим и Учредителем управления.</w:t>
      </w:r>
    </w:p>
    <w:p w14:paraId="19E8B2AC" w14:textId="77777777" w:rsidR="00972569" w:rsidRDefault="00972569" w:rsidP="00972569">
      <w:pPr>
        <w:pStyle w:val="2"/>
        <w:shd w:val="clear" w:color="auto" w:fill="auto"/>
        <w:tabs>
          <w:tab w:val="left" w:pos="490"/>
        </w:tabs>
        <w:spacing w:before="0" w:after="0"/>
        <w:ind w:firstLine="0"/>
        <w:jc w:val="both"/>
        <w:rPr>
          <w:sz w:val="18"/>
        </w:rPr>
      </w:pPr>
    </w:p>
    <w:p w14:paraId="0F1B3892" w14:textId="77777777" w:rsidR="00972569" w:rsidRDefault="00972569" w:rsidP="00972569">
      <w:pPr>
        <w:pStyle w:val="3"/>
        <w:numPr>
          <w:ilvl w:val="0"/>
          <w:numId w:val="1"/>
        </w:numPr>
        <w:shd w:val="clear" w:color="auto" w:fill="auto"/>
        <w:tabs>
          <w:tab w:val="left" w:pos="478"/>
        </w:tabs>
        <w:spacing w:before="0" w:after="115" w:line="170" w:lineRule="exact"/>
        <w:rPr>
          <w:sz w:val="18"/>
        </w:rPr>
      </w:pPr>
      <w:bookmarkStart w:id="2" w:name="bookmark60"/>
      <w:r>
        <w:rPr>
          <w:sz w:val="18"/>
        </w:rPr>
        <w:t>Принципы профессиональной этики</w:t>
      </w:r>
      <w:bookmarkEnd w:id="2"/>
    </w:p>
    <w:p w14:paraId="2255E27A"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Сотрудникам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Сотрудников.</w:t>
      </w:r>
    </w:p>
    <w:p w14:paraId="53DE26F4" w14:textId="77777777" w:rsidR="00972569" w:rsidRDefault="00972569" w:rsidP="00972569">
      <w:pPr>
        <w:pStyle w:val="2"/>
        <w:numPr>
          <w:ilvl w:val="1"/>
          <w:numId w:val="1"/>
        </w:numPr>
        <w:shd w:val="clear" w:color="auto" w:fill="auto"/>
        <w:tabs>
          <w:tab w:val="left" w:pos="486"/>
        </w:tabs>
        <w:spacing w:before="0"/>
        <w:ind w:firstLine="0"/>
        <w:jc w:val="both"/>
        <w:rPr>
          <w:sz w:val="18"/>
        </w:rPr>
      </w:pPr>
      <w:r>
        <w:rPr>
          <w:sz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0C89472B" w14:textId="77777777" w:rsidR="00972569" w:rsidRDefault="00972569" w:rsidP="00972569">
      <w:pPr>
        <w:pStyle w:val="2"/>
        <w:numPr>
          <w:ilvl w:val="1"/>
          <w:numId w:val="1"/>
        </w:numPr>
        <w:shd w:val="clear" w:color="auto" w:fill="auto"/>
        <w:tabs>
          <w:tab w:val="left" w:pos="486"/>
        </w:tabs>
        <w:spacing w:before="0" w:after="0"/>
        <w:ind w:firstLine="0"/>
        <w:jc w:val="both"/>
        <w:rPr>
          <w:sz w:val="18"/>
        </w:rPr>
      </w:pPr>
      <w:r>
        <w:rPr>
          <w:sz w:val="18"/>
        </w:rPr>
        <w:t>При исполнении своих обязательств по Договорам Доверительный управляющий и его Сотрудники не выплачивают, не предлагают выплатить и не разрешают выплату каких-либо денежных средств или Ценностей, 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097BFF03" w14:textId="77777777" w:rsidR="00972569" w:rsidRDefault="00972569" w:rsidP="00972569">
      <w:pPr>
        <w:pStyle w:val="2"/>
        <w:numPr>
          <w:ilvl w:val="1"/>
          <w:numId w:val="1"/>
        </w:numPr>
        <w:shd w:val="clear" w:color="auto" w:fill="auto"/>
        <w:tabs>
          <w:tab w:val="left" w:pos="488"/>
        </w:tabs>
        <w:spacing w:before="0"/>
        <w:ind w:firstLine="0"/>
        <w:jc w:val="both"/>
        <w:rPr>
          <w:sz w:val="18"/>
        </w:rPr>
      </w:pPr>
      <w:r>
        <w:rPr>
          <w:sz w:val="18"/>
        </w:rPr>
        <w:t>При исполнении своих обязательств по Договорам Доверительный управляющий и его Сотрудники не 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74F2C704" w14:textId="77777777" w:rsidR="00972569" w:rsidRDefault="00972569" w:rsidP="00972569">
      <w:pPr>
        <w:pStyle w:val="2"/>
        <w:numPr>
          <w:ilvl w:val="1"/>
          <w:numId w:val="1"/>
        </w:numPr>
        <w:shd w:val="clear" w:color="auto" w:fill="auto"/>
        <w:tabs>
          <w:tab w:val="left" w:pos="488"/>
        </w:tabs>
        <w:spacing w:before="0" w:after="209"/>
        <w:ind w:firstLine="0"/>
        <w:jc w:val="both"/>
        <w:rPr>
          <w:sz w:val="18"/>
        </w:rPr>
      </w:pPr>
      <w:r>
        <w:rPr>
          <w:sz w:val="18"/>
        </w:rPr>
        <w:lastRenderedPageBreak/>
        <w:t>Доверительный управляющий и его Сотрудники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Сотрудников, ставят их в определенную зависимость от Учредителя управления и направлены на обеспечение выполнения Сотрудниками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20C9D5BF" w14:textId="77777777" w:rsidR="00972569" w:rsidRDefault="00972569" w:rsidP="00972569">
      <w:pPr>
        <w:pStyle w:val="2"/>
        <w:numPr>
          <w:ilvl w:val="1"/>
          <w:numId w:val="1"/>
        </w:numPr>
        <w:shd w:val="clear" w:color="auto" w:fill="auto"/>
        <w:tabs>
          <w:tab w:val="left" w:pos="488"/>
        </w:tabs>
        <w:spacing w:before="0" w:after="226" w:line="170" w:lineRule="exact"/>
        <w:ind w:firstLine="0"/>
        <w:jc w:val="both"/>
        <w:rPr>
          <w:sz w:val="18"/>
        </w:rPr>
      </w:pPr>
      <w:r>
        <w:rPr>
          <w:sz w:val="18"/>
        </w:rPr>
        <w:t>Под действиями, осуществляемыми в пользу стимулирующего Учредителя управления, понимаются:</w:t>
      </w:r>
    </w:p>
    <w:p w14:paraId="7A19CC70" w14:textId="77777777" w:rsidR="00972569" w:rsidRDefault="00972569" w:rsidP="00972569">
      <w:pPr>
        <w:pStyle w:val="2"/>
        <w:numPr>
          <w:ilvl w:val="0"/>
          <w:numId w:val="2"/>
        </w:numPr>
        <w:shd w:val="clear" w:color="auto" w:fill="auto"/>
        <w:tabs>
          <w:tab w:val="left" w:pos="265"/>
        </w:tabs>
        <w:spacing w:before="0" w:after="0"/>
        <w:ind w:firstLine="0"/>
        <w:jc w:val="both"/>
        <w:rPr>
          <w:sz w:val="18"/>
        </w:rPr>
      </w:pPr>
      <w:r>
        <w:rPr>
          <w:sz w:val="18"/>
        </w:rPr>
        <w:t>предоставление неоправданных преимуществ по сравнению с другими Учредителями управления;</w:t>
      </w:r>
    </w:p>
    <w:p w14:paraId="4AC4CC8A" w14:textId="77777777" w:rsidR="00972569" w:rsidRDefault="00972569" w:rsidP="00972569">
      <w:pPr>
        <w:pStyle w:val="2"/>
        <w:numPr>
          <w:ilvl w:val="0"/>
          <w:numId w:val="2"/>
        </w:numPr>
        <w:shd w:val="clear" w:color="auto" w:fill="auto"/>
        <w:tabs>
          <w:tab w:val="left" w:pos="265"/>
        </w:tabs>
        <w:spacing w:before="0" w:after="0"/>
        <w:ind w:left="260" w:hanging="260"/>
        <w:jc w:val="both"/>
        <w:rPr>
          <w:sz w:val="18"/>
        </w:rPr>
      </w:pPr>
      <w:r>
        <w:rPr>
          <w:sz w:val="18"/>
        </w:rPr>
        <w:t>предоставление каких-либо гарантий, не обусловленных требованиями законодательства РФ или условиями Договоров;</w:t>
      </w:r>
    </w:p>
    <w:p w14:paraId="7AE79AAD" w14:textId="77777777" w:rsidR="00972569" w:rsidRDefault="00972569" w:rsidP="00972569">
      <w:pPr>
        <w:pStyle w:val="2"/>
        <w:numPr>
          <w:ilvl w:val="0"/>
          <w:numId w:val="2"/>
        </w:numPr>
        <w:shd w:val="clear" w:color="auto" w:fill="auto"/>
        <w:tabs>
          <w:tab w:val="left" w:pos="265"/>
        </w:tabs>
        <w:spacing w:before="0" w:after="0"/>
        <w:ind w:firstLine="0"/>
        <w:jc w:val="both"/>
        <w:rPr>
          <w:sz w:val="18"/>
        </w:rPr>
      </w:pPr>
      <w:r>
        <w:rPr>
          <w:sz w:val="18"/>
        </w:rPr>
        <w:t>обход действующих у Доверительного управляющего правил либо ускорение существующих процедур;</w:t>
      </w:r>
    </w:p>
    <w:p w14:paraId="2225E92B" w14:textId="77777777" w:rsidR="00972569" w:rsidRDefault="00972569" w:rsidP="00972569">
      <w:pPr>
        <w:pStyle w:val="2"/>
        <w:numPr>
          <w:ilvl w:val="0"/>
          <w:numId w:val="2"/>
        </w:numPr>
        <w:shd w:val="clear" w:color="auto" w:fill="auto"/>
        <w:tabs>
          <w:tab w:val="left" w:pos="265"/>
        </w:tabs>
        <w:spacing w:before="0" w:after="0"/>
        <w:ind w:left="260" w:hanging="260"/>
        <w:jc w:val="both"/>
        <w:rPr>
          <w:sz w:val="18"/>
        </w:rPr>
      </w:pPr>
      <w:r>
        <w:rPr>
          <w:sz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3" w:name="bookmark61"/>
    </w:p>
    <w:p w14:paraId="236ED616" w14:textId="77777777" w:rsidR="00972569" w:rsidRDefault="00972569" w:rsidP="00972569">
      <w:pPr>
        <w:pStyle w:val="2"/>
        <w:shd w:val="clear" w:color="auto" w:fill="auto"/>
        <w:tabs>
          <w:tab w:val="left" w:pos="265"/>
        </w:tabs>
        <w:spacing w:before="0" w:after="0"/>
        <w:ind w:left="260" w:firstLine="0"/>
        <w:jc w:val="both"/>
        <w:rPr>
          <w:sz w:val="18"/>
        </w:rPr>
      </w:pPr>
    </w:p>
    <w:p w14:paraId="6E17DE0F" w14:textId="77777777" w:rsidR="00972569" w:rsidRDefault="00972569" w:rsidP="00972569">
      <w:pPr>
        <w:pStyle w:val="3"/>
        <w:numPr>
          <w:ilvl w:val="0"/>
          <w:numId w:val="1"/>
        </w:numPr>
        <w:shd w:val="clear" w:color="auto" w:fill="auto"/>
        <w:tabs>
          <w:tab w:val="left" w:pos="294"/>
        </w:tabs>
        <w:spacing w:before="0" w:after="235" w:line="170" w:lineRule="exact"/>
        <w:rPr>
          <w:sz w:val="18"/>
        </w:rPr>
      </w:pPr>
      <w:r>
        <w:rPr>
          <w:sz w:val="18"/>
        </w:rPr>
        <w:t>Заключительные положения</w:t>
      </w:r>
      <w:bookmarkEnd w:id="3"/>
    </w:p>
    <w:p w14:paraId="24AEDE03" w14:textId="77777777" w:rsidR="00972569" w:rsidRDefault="00972569" w:rsidP="00972569">
      <w:pPr>
        <w:pStyle w:val="2"/>
        <w:numPr>
          <w:ilvl w:val="1"/>
          <w:numId w:val="1"/>
        </w:numPr>
        <w:shd w:val="clear" w:color="auto" w:fill="auto"/>
        <w:tabs>
          <w:tab w:val="left" w:pos="488"/>
        </w:tabs>
        <w:spacing w:before="0" w:after="0"/>
        <w:ind w:firstLine="0"/>
        <w:jc w:val="both"/>
        <w:rPr>
          <w:sz w:val="18"/>
        </w:rPr>
      </w:pPr>
      <w:r>
        <w:rPr>
          <w:sz w:val="18"/>
        </w:rPr>
        <w:t>Требования настоящего Перечня мер доводятся до сведения всех Сотрудников, сопровождающих профессиональную деятельность Доверительного управляющего, по электронной корпоративной почте и подлежат обязательному исполнению.</w:t>
      </w:r>
    </w:p>
    <w:p w14:paraId="6387D69B" w14:textId="77777777" w:rsidR="00972569" w:rsidRDefault="00972569" w:rsidP="00972569">
      <w:pPr>
        <w:pStyle w:val="2"/>
        <w:shd w:val="clear" w:color="auto" w:fill="auto"/>
        <w:tabs>
          <w:tab w:val="left" w:pos="488"/>
        </w:tabs>
        <w:spacing w:before="0" w:after="0"/>
        <w:ind w:firstLine="0"/>
        <w:jc w:val="both"/>
        <w:rPr>
          <w:sz w:val="18"/>
        </w:rPr>
      </w:pPr>
    </w:p>
    <w:p w14:paraId="6D40D704" w14:textId="77777777" w:rsidR="00972569" w:rsidRDefault="00972569" w:rsidP="00972569">
      <w:pPr>
        <w:pStyle w:val="2"/>
        <w:numPr>
          <w:ilvl w:val="1"/>
          <w:numId w:val="1"/>
        </w:numPr>
        <w:shd w:val="clear" w:color="auto" w:fill="auto"/>
        <w:tabs>
          <w:tab w:val="left" w:pos="488"/>
        </w:tabs>
        <w:spacing w:before="0" w:after="0"/>
        <w:ind w:firstLine="0"/>
        <w:jc w:val="both"/>
        <w:rPr>
          <w:sz w:val="18"/>
        </w:rPr>
      </w:pPr>
      <w:r>
        <w:rPr>
          <w:sz w:val="18"/>
        </w:rPr>
        <w:t xml:space="preserve">Доверительный управляющий раскрывает «Перечень мер по недопущению конфликта интересов при осуществлении деятельности по доверительному управлению» в составе настоящих Условий на официальном сайте АО Банк «Объединенный капитал» в сети Интернет по адресу: </w:t>
      </w:r>
      <w:hyperlink r:id="rId5" w:history="1">
        <w:r>
          <w:rPr>
            <w:rStyle w:val="a3"/>
            <w:sz w:val="18"/>
          </w:rPr>
          <w:t>www.okbank.ru</w:t>
        </w:r>
      </w:hyperlink>
      <w:r>
        <w:rPr>
          <w:sz w:val="18"/>
        </w:rPr>
        <w:t xml:space="preserve"> , а также изменения и дополнения в него, в сроки и порядке установленные настоящими Условиями.</w:t>
      </w:r>
    </w:p>
    <w:p w14:paraId="2AF6F605" w14:textId="77777777" w:rsidR="00BB4DAC" w:rsidRDefault="00BB4DAC"/>
    <w:sectPr w:rsidR="00BB4DAC" w:rsidSect="00972569">
      <w:pgSz w:w="11906" w:h="16838"/>
      <w:pgMar w:top="680" w:right="62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E701A"/>
    <w:multiLevelType w:val="multilevel"/>
    <w:tmpl w:val="2DBCD2A0"/>
    <w:lvl w:ilvl="0">
      <w:start w:val="1"/>
      <w:numFmt w:val="decimal"/>
      <w:lvlText w:val="%1."/>
      <w:lvlJc w:val="left"/>
      <w:rPr>
        <w:rFonts w:ascii="Verdana" w:hAnsi="Verdana"/>
        <w:b/>
        <w:i w:val="0"/>
        <w:strike w:val="0"/>
        <w:color w:val="000000"/>
        <w:sz w:val="17"/>
        <w:u w:val="none"/>
      </w:rPr>
    </w:lvl>
    <w:lvl w:ilvl="1">
      <w:start w:val="1"/>
      <w:numFmt w:val="decimal"/>
      <w:lvlText w:val="%1.%2."/>
      <w:lvlJc w:val="left"/>
      <w:rPr>
        <w:rFonts w:ascii="Verdana" w:hAnsi="Verdana"/>
        <w:b/>
        <w:i w:val="0"/>
        <w:strike w:val="0"/>
        <w:color w:val="000000"/>
        <w:sz w:val="17"/>
        <w:u w:val="none"/>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591F3146"/>
    <w:multiLevelType w:val="hybridMultilevel"/>
    <w:tmpl w:val="DD4E740C"/>
    <w:lvl w:ilvl="0" w:tplc="7896A4A8">
      <w:start w:val="1"/>
      <w:numFmt w:val="bullet"/>
      <w:lvlText w:val="•"/>
      <w:lvlJc w:val="left"/>
      <w:rPr>
        <w:rFonts w:ascii="Verdana" w:hAnsi="Verdana"/>
        <w:b w:val="0"/>
        <w:i w:val="0"/>
        <w:strike w:val="0"/>
        <w:color w:val="000000"/>
        <w:sz w:val="17"/>
        <w:u w:val="none"/>
      </w:rPr>
    </w:lvl>
    <w:lvl w:ilvl="1" w:tplc="3A92568E">
      <w:start w:val="1"/>
      <w:numFmt w:val="decimal"/>
      <w:lvlText w:val=""/>
      <w:lvlJc w:val="left"/>
    </w:lvl>
    <w:lvl w:ilvl="2" w:tplc="E5D851DC">
      <w:start w:val="1"/>
      <w:numFmt w:val="decimal"/>
      <w:lvlText w:val=""/>
      <w:lvlJc w:val="left"/>
    </w:lvl>
    <w:lvl w:ilvl="3" w:tplc="C0529C10">
      <w:start w:val="1"/>
      <w:numFmt w:val="decimal"/>
      <w:lvlText w:val=""/>
      <w:lvlJc w:val="left"/>
    </w:lvl>
    <w:lvl w:ilvl="4" w:tplc="78D620A2">
      <w:start w:val="1"/>
      <w:numFmt w:val="decimal"/>
      <w:lvlText w:val=""/>
      <w:lvlJc w:val="left"/>
    </w:lvl>
    <w:lvl w:ilvl="5" w:tplc="546407DE">
      <w:start w:val="1"/>
      <w:numFmt w:val="decimal"/>
      <w:lvlText w:val=""/>
      <w:lvlJc w:val="left"/>
    </w:lvl>
    <w:lvl w:ilvl="6" w:tplc="352A071A">
      <w:start w:val="1"/>
      <w:numFmt w:val="decimal"/>
      <w:lvlText w:val=""/>
      <w:lvlJc w:val="left"/>
    </w:lvl>
    <w:lvl w:ilvl="7" w:tplc="B9CAFEE4">
      <w:start w:val="1"/>
      <w:numFmt w:val="decimal"/>
      <w:lvlText w:val=""/>
      <w:lvlJc w:val="left"/>
    </w:lvl>
    <w:lvl w:ilvl="8" w:tplc="2B14E1DE">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69"/>
    <w:rsid w:val="00972569"/>
    <w:rsid w:val="00BB4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E20E"/>
  <w15:chartTrackingRefBased/>
  <w15:docId w15:val="{D7DBBD56-F2DA-4267-8C0C-6E23FC54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569"/>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link w:val="20"/>
    <w:rsid w:val="00972569"/>
    <w:pPr>
      <w:widowControl w:val="0"/>
      <w:shd w:val="clear" w:color="auto" w:fill="FFFFFF"/>
      <w:spacing w:before="300" w:after="180" w:line="206" w:lineRule="exact"/>
      <w:ind w:hanging="460"/>
    </w:pPr>
    <w:rPr>
      <w:rFonts w:ascii="Verdana" w:hAnsi="Verdana"/>
      <w:sz w:val="17"/>
    </w:rPr>
  </w:style>
  <w:style w:type="paragraph" w:customStyle="1" w:styleId="3">
    <w:name w:val="Заголовок №3"/>
    <w:basedOn w:val="a"/>
    <w:link w:val="30"/>
    <w:uiPriority w:val="99"/>
    <w:rsid w:val="00972569"/>
    <w:pPr>
      <w:widowControl w:val="0"/>
      <w:shd w:val="clear" w:color="auto" w:fill="FFFFFF"/>
      <w:spacing w:before="300" w:after="300" w:line="240" w:lineRule="atLeast"/>
      <w:jc w:val="both"/>
      <w:outlineLvl w:val="2"/>
    </w:pPr>
    <w:rPr>
      <w:rFonts w:ascii="Verdana" w:hAnsi="Verdana"/>
      <w:b/>
      <w:sz w:val="17"/>
    </w:rPr>
  </w:style>
  <w:style w:type="paragraph" w:customStyle="1" w:styleId="31">
    <w:name w:val="Колонтитул (3)"/>
    <w:basedOn w:val="a"/>
    <w:link w:val="32"/>
    <w:rsid w:val="00972569"/>
    <w:pPr>
      <w:widowControl w:val="0"/>
      <w:shd w:val="clear" w:color="auto" w:fill="FFFFFF"/>
      <w:spacing w:after="0" w:line="158" w:lineRule="exact"/>
    </w:pPr>
    <w:rPr>
      <w:rFonts w:ascii="Verdana" w:hAnsi="Verdana"/>
      <w:sz w:val="13"/>
    </w:rPr>
  </w:style>
  <w:style w:type="paragraph" w:customStyle="1" w:styleId="200">
    <w:name w:val="Основной текст (20)"/>
    <w:basedOn w:val="a"/>
    <w:link w:val="201"/>
    <w:rsid w:val="00972569"/>
    <w:pPr>
      <w:widowControl w:val="0"/>
      <w:shd w:val="clear" w:color="auto" w:fill="FFFFFF"/>
      <w:spacing w:before="540" w:after="540" w:line="245" w:lineRule="exact"/>
    </w:pPr>
    <w:rPr>
      <w:rFonts w:ascii="Verdana" w:hAnsi="Verdana"/>
      <w:sz w:val="20"/>
    </w:rPr>
  </w:style>
  <w:style w:type="character" w:styleId="a3">
    <w:name w:val="Hyperlink"/>
    <w:basedOn w:val="a0"/>
    <w:rsid w:val="00972569"/>
    <w:rPr>
      <w:color w:val="0066CC"/>
      <w:u w:val="single"/>
    </w:rPr>
  </w:style>
  <w:style w:type="character" w:customStyle="1" w:styleId="20">
    <w:name w:val="Основной текст (2)_"/>
    <w:link w:val="2"/>
    <w:rsid w:val="00972569"/>
    <w:rPr>
      <w:rFonts w:ascii="Verdana" w:eastAsia="Times New Roman" w:hAnsi="Verdana" w:cs="Times New Roman"/>
      <w:sz w:val="17"/>
      <w:szCs w:val="20"/>
      <w:shd w:val="clear" w:color="auto" w:fill="FFFFFF"/>
      <w:lang w:eastAsia="ru-RU"/>
    </w:rPr>
  </w:style>
  <w:style w:type="character" w:customStyle="1" w:styleId="21">
    <w:name w:val="Основной текст (2) + Полужирный"/>
    <w:rsid w:val="00972569"/>
    <w:rPr>
      <w:rFonts w:ascii="Verdana" w:hAnsi="Verdana"/>
      <w:b/>
      <w:color w:val="000000"/>
      <w:sz w:val="17"/>
      <w:u w:val="none"/>
      <w:shd w:val="clear" w:color="auto" w:fill="FFFFFF"/>
    </w:rPr>
  </w:style>
  <w:style w:type="character" w:customStyle="1" w:styleId="30">
    <w:name w:val="Заголовок №3_"/>
    <w:link w:val="3"/>
    <w:uiPriority w:val="99"/>
    <w:rsid w:val="00972569"/>
    <w:rPr>
      <w:rFonts w:ascii="Verdana" w:eastAsia="Times New Roman" w:hAnsi="Verdana" w:cs="Times New Roman"/>
      <w:b/>
      <w:sz w:val="17"/>
      <w:szCs w:val="20"/>
      <w:shd w:val="clear" w:color="auto" w:fill="FFFFFF"/>
      <w:lang w:eastAsia="ru-RU"/>
    </w:rPr>
  </w:style>
  <w:style w:type="character" w:customStyle="1" w:styleId="32">
    <w:name w:val="Колонтитул (3)_"/>
    <w:link w:val="31"/>
    <w:rsid w:val="00972569"/>
    <w:rPr>
      <w:rFonts w:ascii="Verdana" w:eastAsia="Times New Roman" w:hAnsi="Verdana" w:cs="Times New Roman"/>
      <w:sz w:val="13"/>
      <w:szCs w:val="20"/>
      <w:shd w:val="clear" w:color="auto" w:fill="FFFFFF"/>
      <w:lang w:eastAsia="ru-RU"/>
    </w:rPr>
  </w:style>
  <w:style w:type="character" w:customStyle="1" w:styleId="201">
    <w:name w:val="Основной текст (20)_"/>
    <w:link w:val="200"/>
    <w:rsid w:val="00972569"/>
    <w:rPr>
      <w:rFonts w:ascii="Verdana" w:eastAsia="Times New Roman" w:hAnsi="Verdan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ban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Т.В.</dc:creator>
  <cp:keywords/>
  <dc:description/>
  <cp:lastModifiedBy>Александрова Т.В.</cp:lastModifiedBy>
  <cp:revision>1</cp:revision>
  <dcterms:created xsi:type="dcterms:W3CDTF">2022-03-22T08:45:00Z</dcterms:created>
  <dcterms:modified xsi:type="dcterms:W3CDTF">2022-03-22T08:48:00Z</dcterms:modified>
</cp:coreProperties>
</file>