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7499" w14:textId="77777777" w:rsidR="00387C82" w:rsidRPr="00385326" w:rsidRDefault="00387C82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182D5E" w:rsidRPr="00182D5E" w14:paraId="4EDFCEBB" w14:textId="77777777" w:rsidTr="00E92628">
        <w:trPr>
          <w:trHeight w:val="784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6017FC81" w14:textId="77777777" w:rsidR="00182D5E" w:rsidRPr="00182D5E" w:rsidRDefault="00182D5E" w:rsidP="00E92628">
            <w:pPr>
              <w:pStyle w:val="3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82D5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УТВЕРЖДЕНО</w:t>
            </w:r>
          </w:p>
          <w:p w14:paraId="133EC26C" w14:textId="77777777" w:rsidR="00182D5E" w:rsidRPr="00182D5E" w:rsidRDefault="00182D5E" w:rsidP="00E92628">
            <w:pPr>
              <w:pStyle w:val="3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82D5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Правлением </w:t>
            </w:r>
          </w:p>
          <w:p w14:paraId="69B56FBD" w14:textId="1DFB391F" w:rsidR="00182D5E" w:rsidRPr="00182D5E" w:rsidRDefault="00182D5E" w:rsidP="00E92628">
            <w:pPr>
              <w:pStyle w:val="3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82D5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АО Банк «Объединенный капитал»</w:t>
            </w:r>
            <w:r w:rsidR="006B076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14:paraId="708CA2F0" w14:textId="323D4438" w:rsidR="00182D5E" w:rsidRPr="00182D5E" w:rsidRDefault="00182D5E" w:rsidP="00E92628">
            <w:pPr>
              <w:pStyle w:val="20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bookmarkStart w:id="0" w:name="_Toc513738297"/>
            <w:r w:rsidRPr="00182D5E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>Протокол</w:t>
            </w:r>
            <w:r w:rsidR="006B076C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 xml:space="preserve"> № 34</w:t>
            </w:r>
            <w:r w:rsidRPr="00182D5E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 xml:space="preserve"> </w:t>
            </w:r>
            <w:r w:rsidR="006B076C" w:rsidRPr="00182D5E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 xml:space="preserve">от </w:t>
            </w:r>
            <w:r w:rsidR="006B076C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 xml:space="preserve">01 октября </w:t>
            </w:r>
            <w:r w:rsidR="00082103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 xml:space="preserve">2018 </w:t>
            </w:r>
            <w:r w:rsidRPr="00182D5E">
              <w:rPr>
                <w:rFonts w:ascii="Times New Roman" w:hAnsi="Times New Roman" w:cs="Times New Roman"/>
                <w:b w:val="0"/>
                <w:bCs/>
                <w:kern w:val="36"/>
                <w:sz w:val="24"/>
                <w:szCs w:val="24"/>
              </w:rPr>
              <w:t>г.</w:t>
            </w:r>
            <w:bookmarkEnd w:id="0"/>
          </w:p>
          <w:p w14:paraId="5E53C600" w14:textId="77777777" w:rsidR="00182D5E" w:rsidRPr="00182D5E" w:rsidRDefault="00182D5E" w:rsidP="00E92628">
            <w:pPr>
              <w:tabs>
                <w:tab w:val="left" w:pos="340"/>
              </w:tabs>
              <w:ind w:left="567" w:hanging="567"/>
              <w:jc w:val="right"/>
              <w:rPr>
                <w:rStyle w:val="5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</w:tr>
    </w:tbl>
    <w:p w14:paraId="7B0AC8E0" w14:textId="77777777" w:rsidR="002B6F85" w:rsidRDefault="002B6F85" w:rsidP="00182D5E">
      <w:pPr>
        <w:jc w:val="right"/>
      </w:pPr>
    </w:p>
    <w:p w14:paraId="67C93D9F" w14:textId="77777777" w:rsidR="002B6F85" w:rsidRDefault="002B6F85">
      <w:bookmarkStart w:id="1" w:name="_GoBack"/>
      <w:bookmarkEnd w:id="1"/>
    </w:p>
    <w:p w14:paraId="2E4DED88" w14:textId="77777777" w:rsidR="002B6F85" w:rsidRDefault="002B6F85"/>
    <w:p w14:paraId="7E9E3C0A" w14:textId="77777777" w:rsidR="002B6F85" w:rsidRDefault="002B6F85"/>
    <w:p w14:paraId="17725055" w14:textId="77777777" w:rsidR="002B6F85" w:rsidRDefault="002B6F85"/>
    <w:p w14:paraId="17809ABB" w14:textId="77777777" w:rsidR="002B6F85" w:rsidRDefault="002B6F85"/>
    <w:p w14:paraId="3BBCC735" w14:textId="77777777" w:rsidR="002B6F85" w:rsidRDefault="002B6F85"/>
    <w:p w14:paraId="54331CD6" w14:textId="77777777" w:rsidR="002B6F85" w:rsidRDefault="002B6F85"/>
    <w:p w14:paraId="47E61CC0" w14:textId="77777777" w:rsidR="002B6F85" w:rsidRDefault="002B6F85"/>
    <w:p w14:paraId="61E9D7E0" w14:textId="77777777" w:rsidR="002B6F85" w:rsidRDefault="002B6F85"/>
    <w:p w14:paraId="630B9C51" w14:textId="77777777" w:rsidR="002B6F85" w:rsidRDefault="002B6F85"/>
    <w:p w14:paraId="4F78B780" w14:textId="77777777" w:rsidR="002B6F85" w:rsidRDefault="002B6F85"/>
    <w:p w14:paraId="65248ECD" w14:textId="7B908058" w:rsidR="002B6F85" w:rsidRPr="00770AA4" w:rsidRDefault="00AE48F9" w:rsidP="002B6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082103">
        <w:rPr>
          <w:rFonts w:ascii="Times New Roman" w:hAnsi="Times New Roman"/>
          <w:b/>
          <w:sz w:val="28"/>
          <w:szCs w:val="28"/>
        </w:rPr>
        <w:t xml:space="preserve"> СОВЕРШЕНИЯ ТОРГОВЫХ ОПЕРАЦИЙ ЗА СЧЁТ</w:t>
      </w:r>
      <w:r w:rsidR="002B6F85" w:rsidRPr="00770AA4">
        <w:rPr>
          <w:rFonts w:ascii="Times New Roman" w:hAnsi="Times New Roman"/>
          <w:b/>
          <w:sz w:val="28"/>
          <w:szCs w:val="28"/>
        </w:rPr>
        <w:t xml:space="preserve"> КЛИЕНТОВ </w:t>
      </w:r>
      <w:r w:rsidR="000B12E2" w:rsidRPr="00770AA4">
        <w:rPr>
          <w:rFonts w:ascii="Times New Roman" w:hAnsi="Times New Roman"/>
          <w:b/>
          <w:sz w:val="28"/>
          <w:szCs w:val="28"/>
        </w:rPr>
        <w:t>ПРИ ОСУЩЕСТВЛЕНИИ АО БАНК «ОБЪЕДИНЁННЫЙ КАПИТАЛ» БРОКЕРСКОЙ ДЕЯТЕЛЬНОСТИ</w:t>
      </w:r>
    </w:p>
    <w:p w14:paraId="46873E7E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4D753074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3D0B353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187C412F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71DD6D3B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56B4635F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615525ED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1A9CDCF3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0ED526AE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23990DE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15775C35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1F1922A4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252A8B3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581E9A91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91C87B7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468F458E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016C3CC5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3063FF6C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074AB25F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57A9A736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280A9C2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3CFD3F42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5A70A144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DE782D3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5929951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041088E7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0960BC8B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5F2DE3EE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7E8E0D94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AABEB17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2066A2CE" w14:textId="77777777" w:rsidR="00F10A7C" w:rsidRPr="008C5DE2" w:rsidRDefault="00F10A7C" w:rsidP="00F10A7C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bookmarkStart w:id="2" w:name="_Toc433292511"/>
      <w:bookmarkStart w:id="3" w:name="_Toc513738298"/>
      <w:r w:rsidRPr="008C5DE2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2"/>
      <w:bookmarkEnd w:id="3"/>
    </w:p>
    <w:p w14:paraId="1C807D53" w14:textId="77777777" w:rsidR="00F10A7C" w:rsidRDefault="00F10A7C" w:rsidP="00F10A7C">
      <w:pPr>
        <w:adjustRightInd w:val="0"/>
        <w:spacing w:line="264" w:lineRule="auto"/>
        <w:ind w:firstLine="709"/>
        <w:jc w:val="both"/>
      </w:pPr>
    </w:p>
    <w:p w14:paraId="08548D62" w14:textId="1068CC07" w:rsidR="00F44271" w:rsidRPr="00F44271" w:rsidRDefault="00AE48F9" w:rsidP="00F44271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Настоящий</w:t>
      </w:r>
      <w:r w:rsidR="00F10A7C" w:rsidRPr="00F44271">
        <w:rPr>
          <w:rFonts w:ascii="Times New Roman" w:hAnsi="Times New Roman" w:cs="Times New Roman"/>
        </w:rPr>
        <w:t xml:space="preserve"> </w:t>
      </w:r>
      <w:r w:rsidR="008D3728" w:rsidRPr="00F4427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Прядок</w:t>
      </w:r>
      <w:r w:rsidR="00CE3134" w:rsidRPr="00F44271">
        <w:rPr>
          <w:rFonts w:ascii="Times New Roman" w:hAnsi="Times New Roman" w:cs="Times New Roman"/>
        </w:rPr>
        <w:t xml:space="preserve"> совершения торговых операций за счёт клиентов </w:t>
      </w:r>
      <w:r w:rsidR="00F10A7C" w:rsidRPr="00F44271">
        <w:rPr>
          <w:rFonts w:ascii="Times New Roman" w:hAnsi="Times New Roman" w:cs="Times New Roman"/>
        </w:rPr>
        <w:t>при осуществлении АО Банк «Объединенный капитал» (далее - Банк) брокерской деятельности</w:t>
      </w:r>
      <w:r w:rsidR="008D3728" w:rsidRPr="00F44271">
        <w:rPr>
          <w:rFonts w:ascii="Times New Roman" w:hAnsi="Times New Roman" w:cs="Times New Roman"/>
        </w:rPr>
        <w:t>»</w:t>
      </w:r>
      <w:r w:rsidR="00FF4513">
        <w:rPr>
          <w:rFonts w:ascii="Times New Roman" w:hAnsi="Times New Roman" w:cs="Times New Roman"/>
        </w:rPr>
        <w:t xml:space="preserve"> (далее – Порядок</w:t>
      </w:r>
      <w:r w:rsidR="00385326">
        <w:rPr>
          <w:rFonts w:ascii="Times New Roman" w:hAnsi="Times New Roman" w:cs="Times New Roman"/>
        </w:rPr>
        <w:t>) определяю</w:t>
      </w:r>
      <w:r w:rsidR="00F10A7C" w:rsidRPr="00F44271">
        <w:rPr>
          <w:rFonts w:ascii="Times New Roman" w:hAnsi="Times New Roman" w:cs="Times New Roman"/>
        </w:rPr>
        <w:t xml:space="preserve">т </w:t>
      </w:r>
      <w:r w:rsidR="00385326">
        <w:rPr>
          <w:rFonts w:ascii="Times New Roman" w:hAnsi="Times New Roman" w:cs="Times New Roman"/>
        </w:rPr>
        <w:t xml:space="preserve">политику совершения </w:t>
      </w:r>
      <w:r w:rsidR="00385326">
        <w:rPr>
          <w:rFonts w:ascii="Times New Roman" w:hAnsi="Times New Roman" w:cs="Times New Roman"/>
          <w:color w:val="auto"/>
        </w:rPr>
        <w:t>торговых</w:t>
      </w:r>
      <w:r w:rsidR="00F44271">
        <w:rPr>
          <w:rFonts w:ascii="Times New Roman" w:hAnsi="Times New Roman" w:cs="Times New Roman"/>
          <w:color w:val="auto"/>
        </w:rPr>
        <w:t xml:space="preserve"> операции за счет к</w:t>
      </w:r>
      <w:r w:rsidR="00F44271" w:rsidRPr="00F44271">
        <w:rPr>
          <w:rFonts w:ascii="Times New Roman" w:hAnsi="Times New Roman" w:cs="Times New Roman"/>
          <w:color w:val="auto"/>
        </w:rPr>
        <w:t xml:space="preserve">лиентов. </w:t>
      </w:r>
    </w:p>
    <w:p w14:paraId="2EC08CDE" w14:textId="0B15012F" w:rsidR="00F10A7C" w:rsidRPr="00F44271" w:rsidRDefault="00F10A7C" w:rsidP="00AF0A69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F44271">
        <w:rPr>
          <w:rFonts w:ascii="Times New Roman" w:hAnsi="Times New Roman" w:cs="Times New Roman"/>
        </w:rPr>
        <w:t>Н</w:t>
      </w:r>
      <w:r w:rsidR="00DA1CDC">
        <w:rPr>
          <w:rFonts w:ascii="Times New Roman" w:hAnsi="Times New Roman" w:cs="Times New Roman"/>
        </w:rPr>
        <w:t>астоящий Порядок</w:t>
      </w:r>
      <w:r w:rsidRPr="00F44271">
        <w:rPr>
          <w:rFonts w:ascii="Times New Roman" w:hAnsi="Times New Roman" w:cs="Times New Roman"/>
        </w:rPr>
        <w:t xml:space="preserve"> разработан в соответствии с Федера</w:t>
      </w:r>
      <w:r w:rsidR="00486B28">
        <w:rPr>
          <w:rFonts w:ascii="Times New Roman" w:hAnsi="Times New Roman" w:cs="Times New Roman"/>
        </w:rPr>
        <w:t>льным законом от 22 апреля 1996</w:t>
      </w:r>
      <w:r w:rsidRPr="00F44271">
        <w:rPr>
          <w:rFonts w:ascii="Times New Roman" w:hAnsi="Times New Roman" w:cs="Times New Roman"/>
        </w:rPr>
        <w:t>г. № 39-ФЗ «О рынке ценных бумаг» и стандартами Саморегулируемой организации «Национальная финансовая ассоциация» (далее – СРО НФА).</w:t>
      </w:r>
    </w:p>
    <w:p w14:paraId="2BE8F731" w14:textId="2FAB8DED" w:rsidR="00F10A7C" w:rsidRPr="00501ED4" w:rsidRDefault="00F10A7C" w:rsidP="00F10A7C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  <w:color w:val="auto"/>
        </w:rPr>
      </w:pPr>
      <w:r w:rsidRPr="00F10A7C">
        <w:rPr>
          <w:rFonts w:ascii="Times New Roman" w:hAnsi="Times New Roman" w:cs="Times New Roman"/>
        </w:rPr>
        <w:t>П</w:t>
      </w:r>
      <w:r w:rsidR="00DA1CDC">
        <w:rPr>
          <w:rFonts w:ascii="Times New Roman" w:hAnsi="Times New Roman" w:cs="Times New Roman"/>
        </w:rPr>
        <w:t>рименяемые в настоящем Порядке</w:t>
      </w:r>
      <w:r w:rsidRPr="00F10A7C">
        <w:rPr>
          <w:rFonts w:ascii="Times New Roman" w:hAnsi="Times New Roman" w:cs="Times New Roman"/>
        </w:rPr>
        <w:t xml:space="preserve"> понятия и определения используются в соответствии с понятиями и определениями, содержащимися в законодательстве Российской Федерац</w:t>
      </w:r>
      <w:r w:rsidR="00FE0963">
        <w:rPr>
          <w:rFonts w:ascii="Times New Roman" w:hAnsi="Times New Roman" w:cs="Times New Roman"/>
        </w:rPr>
        <w:t>ии, а также в «</w:t>
      </w:r>
      <w:r w:rsidR="00FE0963" w:rsidRPr="009C5427">
        <w:rPr>
          <w:rFonts w:ascii="Times New Roman" w:hAnsi="Times New Roman" w:cs="Times New Roman"/>
        </w:rPr>
        <w:t>Регламент</w:t>
      </w:r>
      <w:r w:rsidR="00FE0963">
        <w:rPr>
          <w:rFonts w:ascii="Times New Roman" w:hAnsi="Times New Roman" w:cs="Times New Roman"/>
        </w:rPr>
        <w:t>е</w:t>
      </w:r>
      <w:r w:rsidR="00FE0963" w:rsidRPr="009C5427">
        <w:rPr>
          <w:rFonts w:ascii="Times New Roman" w:hAnsi="Times New Roman" w:cs="Times New Roman"/>
        </w:rPr>
        <w:t xml:space="preserve"> оказания брокерск</w:t>
      </w:r>
      <w:r w:rsidR="00FE0963">
        <w:rPr>
          <w:rFonts w:ascii="Times New Roman" w:hAnsi="Times New Roman" w:cs="Times New Roman"/>
        </w:rPr>
        <w:t xml:space="preserve">их услуг на рынке ценных бумаг </w:t>
      </w:r>
      <w:r w:rsidR="00FE0963" w:rsidRPr="009C5427">
        <w:rPr>
          <w:rFonts w:ascii="Times New Roman" w:hAnsi="Times New Roman" w:cs="Times New Roman"/>
        </w:rPr>
        <w:t>АО Банк «Объединенный капитал»</w:t>
      </w:r>
      <w:r w:rsidR="00FE0963">
        <w:rPr>
          <w:rFonts w:ascii="Times New Roman" w:hAnsi="Times New Roman" w:cs="Times New Roman"/>
        </w:rPr>
        <w:t>.</w:t>
      </w:r>
    </w:p>
    <w:p w14:paraId="235FE4C6" w14:textId="279A5839" w:rsidR="00367215" w:rsidRPr="00367215" w:rsidRDefault="00367215" w:rsidP="00367215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367215">
        <w:rPr>
          <w:rFonts w:ascii="Times New Roman" w:hAnsi="Times New Roman"/>
          <w:sz w:val="24"/>
          <w:szCs w:val="24"/>
        </w:rPr>
        <w:t>ПРИНЦИПЫ ОРГАНИЗАЦИИ ПРИЕМА И ИСПОЛНЕНИЯ ПОРУЧЕНИЙ КЛИЕНТОВ</w:t>
      </w:r>
      <w:r w:rsidR="00385326">
        <w:rPr>
          <w:rFonts w:ascii="Times New Roman" w:hAnsi="Times New Roman"/>
          <w:sz w:val="24"/>
          <w:szCs w:val="24"/>
        </w:rPr>
        <w:t xml:space="preserve"> </w:t>
      </w:r>
    </w:p>
    <w:p w14:paraId="30D84ED5" w14:textId="77777777" w:rsidR="009C447D" w:rsidRPr="009C447D" w:rsidRDefault="009C447D" w:rsidP="009C447D">
      <w:pPr>
        <w:pStyle w:val="a3"/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7554FF1E" w14:textId="77777777" w:rsidR="006B1095" w:rsidRPr="006B1095" w:rsidRDefault="006B1095" w:rsidP="006B1095">
      <w:pPr>
        <w:pStyle w:val="a3"/>
        <w:numPr>
          <w:ilvl w:val="0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  <w:vanish/>
        </w:rPr>
      </w:pPr>
    </w:p>
    <w:p w14:paraId="58CC1583" w14:textId="77777777" w:rsidR="006B1095" w:rsidRPr="009C447D" w:rsidRDefault="009C447D" w:rsidP="006B1095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9C447D">
        <w:rPr>
          <w:rFonts w:ascii="Times New Roman" w:hAnsi="Times New Roman" w:cs="Times New Roman"/>
        </w:rPr>
        <w:t>Банк при исполнении по</w:t>
      </w:r>
      <w:r w:rsidR="008F3AA2">
        <w:rPr>
          <w:rFonts w:ascii="Times New Roman" w:hAnsi="Times New Roman" w:cs="Times New Roman"/>
        </w:rPr>
        <w:t>ручений к</w:t>
      </w:r>
      <w:r w:rsidRPr="009C447D">
        <w:rPr>
          <w:rFonts w:ascii="Times New Roman" w:hAnsi="Times New Roman" w:cs="Times New Roman"/>
        </w:rPr>
        <w:t xml:space="preserve">лиента руководствуется законодательством Российской Федерации и </w:t>
      </w:r>
      <w:r w:rsidR="00802191">
        <w:rPr>
          <w:rFonts w:ascii="Times New Roman" w:hAnsi="Times New Roman" w:cs="Times New Roman"/>
        </w:rPr>
        <w:t>с</w:t>
      </w:r>
      <w:r w:rsidRPr="009C447D">
        <w:rPr>
          <w:rFonts w:ascii="Times New Roman" w:hAnsi="Times New Roman" w:cs="Times New Roman"/>
        </w:rPr>
        <w:t>тандартами СРО НФА.</w:t>
      </w:r>
    </w:p>
    <w:p w14:paraId="286226EC" w14:textId="77777777" w:rsidR="009C447D" w:rsidRPr="006B1095" w:rsidRDefault="009C447D" w:rsidP="006B1095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6B1095">
        <w:rPr>
          <w:rFonts w:ascii="Times New Roman" w:hAnsi="Times New Roman" w:cs="Times New Roman"/>
        </w:rPr>
        <w:t>Банк обязан выполнять поручения клиентов добросовестно.</w:t>
      </w:r>
    </w:p>
    <w:p w14:paraId="587BE787" w14:textId="77777777" w:rsidR="009C447D" w:rsidRDefault="009C447D" w:rsidP="006B1095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6B1095">
        <w:rPr>
          <w:rFonts w:ascii="Times New Roman" w:hAnsi="Times New Roman" w:cs="Times New Roman"/>
        </w:rPr>
        <w:t>Банк не допускает дискриминацию одних клиентов по отношению к другим. Все поручения принимаются Банком в порядке очередности их поступления от клиентов.</w:t>
      </w:r>
    </w:p>
    <w:p w14:paraId="246DFDF0" w14:textId="77777777" w:rsidR="00D712BB" w:rsidRDefault="0020015F" w:rsidP="00D712BB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Сделки, осуществляемые по п</w:t>
      </w:r>
      <w:r w:rsidR="008F3AA2">
        <w:rPr>
          <w:rFonts w:ascii="Times New Roman" w:hAnsi="Times New Roman" w:cs="Times New Roman"/>
        </w:rPr>
        <w:t>оручению к</w:t>
      </w:r>
      <w:r w:rsidR="00D712BB" w:rsidRPr="00D712BB">
        <w:rPr>
          <w:rFonts w:ascii="Times New Roman" w:hAnsi="Times New Roman" w:cs="Times New Roman"/>
        </w:rPr>
        <w:t xml:space="preserve">лиентов, во всех случаях подлежат приоритетному исполнению по сравнению с дилерскими операциями </w:t>
      </w:r>
      <w:r w:rsidR="0026347C">
        <w:rPr>
          <w:rFonts w:ascii="Times New Roman" w:hAnsi="Times New Roman" w:cs="Times New Roman"/>
        </w:rPr>
        <w:t xml:space="preserve">Банка </w:t>
      </w:r>
      <w:r w:rsidR="00D712BB" w:rsidRPr="00D712BB">
        <w:rPr>
          <w:rFonts w:ascii="Times New Roman" w:hAnsi="Times New Roman" w:cs="Times New Roman"/>
        </w:rPr>
        <w:t xml:space="preserve">при совмещении им брокерской и дилерской деятельности. </w:t>
      </w:r>
    </w:p>
    <w:p w14:paraId="2AB39623" w14:textId="77777777" w:rsidR="009C447D" w:rsidRDefault="00FB4CA7" w:rsidP="001B7D56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FB4CA7">
        <w:rPr>
          <w:rFonts w:ascii="Times New Roman" w:hAnsi="Times New Roman" w:cs="Times New Roman"/>
        </w:rPr>
        <w:t>При определении очередности исполнения сделок временем поступления поручения клиента Банку считается единое учетно-операционное время – московское (время часовой зоны, в которой расположена столица Российской Федерации - город Москва, соответствует третьему часовому поясу в национальной шкале времени Российской Федерации UTC (SU) +3), являющееся временем часового пояса места нахождения головного офиса Банка.</w:t>
      </w:r>
    </w:p>
    <w:p w14:paraId="46938E29" w14:textId="77777777" w:rsidR="001B7D56" w:rsidRDefault="001B7D56" w:rsidP="001B7D56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1B7D56">
        <w:rPr>
          <w:rFonts w:ascii="Times New Roman" w:hAnsi="Times New Roman" w:cs="Times New Roman"/>
        </w:rPr>
        <w:t>Банк при осуществлении брокерской деятельности принимает все разумные и дос</w:t>
      </w:r>
      <w:r>
        <w:rPr>
          <w:rFonts w:ascii="Times New Roman" w:hAnsi="Times New Roman" w:cs="Times New Roman"/>
        </w:rPr>
        <w:t xml:space="preserve">тупные ему меры для </w:t>
      </w:r>
      <w:r w:rsidR="00BA416B">
        <w:rPr>
          <w:rFonts w:ascii="Times New Roman" w:hAnsi="Times New Roman" w:cs="Times New Roman"/>
        </w:rPr>
        <w:t xml:space="preserve">совершения торговых операций за счёт клиента, в том числе при закрытии позиций клиента, </w:t>
      </w:r>
      <w:r w:rsidRPr="001B7D56">
        <w:rPr>
          <w:rFonts w:ascii="Times New Roman" w:hAnsi="Times New Roman" w:cs="Times New Roman"/>
        </w:rPr>
        <w:t>на лучши</w:t>
      </w:r>
      <w:r w:rsidR="00BA416B">
        <w:rPr>
          <w:rFonts w:ascii="Times New Roman" w:hAnsi="Times New Roman" w:cs="Times New Roman"/>
        </w:rPr>
        <w:t>х условиях в соответствии с условиями поручения и договором о брокерском обслуживании.</w:t>
      </w:r>
    </w:p>
    <w:p w14:paraId="25C1A5BF" w14:textId="67C5CBB0" w:rsidR="006C0501" w:rsidRDefault="00DA1CDC" w:rsidP="001B7D56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п. 2.6 Порядка</w:t>
      </w:r>
      <w:r w:rsidR="006C0501">
        <w:rPr>
          <w:rFonts w:ascii="Times New Roman" w:hAnsi="Times New Roman" w:cs="Times New Roman"/>
        </w:rPr>
        <w:t xml:space="preserve"> считаются исполненными, в случае если:</w:t>
      </w:r>
    </w:p>
    <w:p w14:paraId="1100449D" w14:textId="77777777" w:rsidR="006C0501" w:rsidRPr="006C0501" w:rsidRDefault="006C0501" w:rsidP="006C0501">
      <w:pPr>
        <w:pStyle w:val="Default"/>
        <w:numPr>
          <w:ilvl w:val="0"/>
          <w:numId w:val="21"/>
        </w:numPr>
        <w:jc w:val="both"/>
      </w:pPr>
      <w:r>
        <w:t>п</w:t>
      </w:r>
      <w:r w:rsidRPr="006C0501">
        <w:t>оручени</w:t>
      </w:r>
      <w:r>
        <w:t>е было исполнено на торгах организатора торговли</w:t>
      </w:r>
      <w:r w:rsidRPr="006C0501">
        <w:t xml:space="preserve"> на основе заявок на покупку и заявок на продажу ценных бумаг и (или) иностранной валюты и (или) заявок на заключение договора, являющегося производным финансовым инструментом, по наилучшим ценам при том, что заявки были адресованы всем участникам торгов и информация, позволяющая идентифицировать подавших заявки участников торгов, не раскрывалась в </w:t>
      </w:r>
      <w:r>
        <w:t xml:space="preserve">ходе торгов другим участникам; </w:t>
      </w:r>
      <w:r w:rsidRPr="006C0501">
        <w:t xml:space="preserve"> </w:t>
      </w:r>
    </w:p>
    <w:p w14:paraId="525505AA" w14:textId="77777777" w:rsidR="006C0501" w:rsidRDefault="006C0501" w:rsidP="006C0501">
      <w:pPr>
        <w:pStyle w:val="a3"/>
        <w:numPr>
          <w:ilvl w:val="0"/>
          <w:numId w:val="21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существа поручения, д</w:t>
      </w:r>
      <w:r w:rsidRPr="006C0501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 xml:space="preserve"> о брокерском обслуживании</w:t>
      </w:r>
      <w:r w:rsidRPr="006C0501">
        <w:rPr>
          <w:rFonts w:ascii="Times New Roman" w:hAnsi="Times New Roman" w:cs="Times New Roman"/>
        </w:rPr>
        <w:t xml:space="preserve"> или характеристик финансового инструмента, </w:t>
      </w:r>
      <w:r>
        <w:rPr>
          <w:rFonts w:ascii="Times New Roman" w:hAnsi="Times New Roman" w:cs="Times New Roman"/>
        </w:rPr>
        <w:t>в отношении которого было дано п</w:t>
      </w:r>
      <w:r w:rsidRPr="006C0501">
        <w:rPr>
          <w:rFonts w:ascii="Times New Roman" w:hAnsi="Times New Roman" w:cs="Times New Roman"/>
        </w:rPr>
        <w:t>оручение, следовала обязанность Банка исполнить это поручение не ина</w:t>
      </w:r>
      <w:r>
        <w:rPr>
          <w:rFonts w:ascii="Times New Roman" w:hAnsi="Times New Roman" w:cs="Times New Roman"/>
        </w:rPr>
        <w:t>че как на торгах указанного организатора торговли</w:t>
      </w:r>
      <w:r w:rsidRPr="006C0501">
        <w:rPr>
          <w:rFonts w:ascii="Times New Roman" w:hAnsi="Times New Roman" w:cs="Times New Roman"/>
        </w:rPr>
        <w:t>.</w:t>
      </w:r>
    </w:p>
    <w:p w14:paraId="22C7214D" w14:textId="77777777" w:rsidR="00436F8A" w:rsidRPr="00033DFC" w:rsidRDefault="00436F8A" w:rsidP="00436F8A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033DFC">
        <w:rPr>
          <w:rFonts w:ascii="Times New Roman" w:hAnsi="Times New Roman" w:cs="Times New Roman"/>
        </w:rPr>
        <w:t xml:space="preserve">При совершении сделки не на организованных торгах сотрудники Банка проводят сделку в соответствии с внутренними процедурами, а также убедившись в: </w:t>
      </w:r>
    </w:p>
    <w:p w14:paraId="4C5558F2" w14:textId="77777777" w:rsidR="00436F8A" w:rsidRPr="00033DFC" w:rsidRDefault="00436F8A" w:rsidP="00436F8A">
      <w:pPr>
        <w:pStyle w:val="a3"/>
        <w:numPr>
          <w:ilvl w:val="0"/>
          <w:numId w:val="12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033DFC">
        <w:rPr>
          <w:rFonts w:ascii="Times New Roman" w:hAnsi="Times New Roman" w:cs="Times New Roman"/>
        </w:rPr>
        <w:lastRenderedPageBreak/>
        <w:t>наличии лимитов на контрагента (при необходимости установления таковых);</w:t>
      </w:r>
    </w:p>
    <w:p w14:paraId="01420AD1" w14:textId="77777777" w:rsidR="00436F8A" w:rsidRPr="00033DFC" w:rsidRDefault="00436F8A" w:rsidP="00436F8A">
      <w:pPr>
        <w:pStyle w:val="a3"/>
        <w:numPr>
          <w:ilvl w:val="0"/>
          <w:numId w:val="12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033DFC">
        <w:rPr>
          <w:rFonts w:ascii="Times New Roman" w:hAnsi="Times New Roman" w:cs="Times New Roman"/>
        </w:rPr>
        <w:t>наличии полномочий контрагента на совершение соответствующей операции;</w:t>
      </w:r>
    </w:p>
    <w:p w14:paraId="5DA5B1AA" w14:textId="77777777" w:rsidR="00436F8A" w:rsidRPr="00033DFC" w:rsidRDefault="00436F8A" w:rsidP="00436F8A">
      <w:pPr>
        <w:pStyle w:val="a3"/>
        <w:numPr>
          <w:ilvl w:val="0"/>
          <w:numId w:val="12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033DFC">
        <w:rPr>
          <w:rFonts w:ascii="Times New Roman" w:hAnsi="Times New Roman" w:cs="Times New Roman"/>
        </w:rPr>
        <w:t>правильности заполнения документов по сделке;</w:t>
      </w:r>
    </w:p>
    <w:p w14:paraId="389DBA60" w14:textId="77777777" w:rsidR="00436F8A" w:rsidRPr="00033DFC" w:rsidRDefault="00436F8A" w:rsidP="00436F8A">
      <w:pPr>
        <w:pStyle w:val="a3"/>
        <w:numPr>
          <w:ilvl w:val="0"/>
          <w:numId w:val="12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033DFC">
        <w:rPr>
          <w:rFonts w:ascii="Times New Roman" w:hAnsi="Times New Roman" w:cs="Times New Roman"/>
        </w:rPr>
        <w:t>наличии у лица, в пользу которого Банком приобретаются ценные бумаги, надлежащих оснований (разрешений) на их приобретение в случае, если приобретаемые ценные бумаги ограничены в обороте (предназначены для квалифицированных инвесторов).</w:t>
      </w:r>
    </w:p>
    <w:p w14:paraId="1603BE3C" w14:textId="77777777" w:rsidR="009670BC" w:rsidRPr="00770AA4" w:rsidRDefault="00770AA4" w:rsidP="009F3DC7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770AA4">
        <w:rPr>
          <w:rFonts w:ascii="Times New Roman" w:hAnsi="Times New Roman"/>
          <w:sz w:val="24"/>
          <w:szCs w:val="24"/>
        </w:rPr>
        <w:t>УСЛОВИЯ И ПОРЯДОК ПРИЕМА И ИСПОЛНЕНИЯ ПОРУЧЕНИЙ КЛИЕНТОВ</w:t>
      </w:r>
    </w:p>
    <w:p w14:paraId="28A5B09B" w14:textId="77777777" w:rsidR="00D91B5C" w:rsidRDefault="00D91B5C" w:rsidP="00D91B5C">
      <w:pPr>
        <w:adjustRightInd w:val="0"/>
        <w:spacing w:line="264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774F59C" w14:textId="77777777" w:rsidR="009F3DC7" w:rsidRPr="009F3DC7" w:rsidRDefault="009F3DC7" w:rsidP="009F3DC7">
      <w:pPr>
        <w:pStyle w:val="a3"/>
        <w:numPr>
          <w:ilvl w:val="0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  <w:vanish/>
        </w:rPr>
      </w:pPr>
    </w:p>
    <w:p w14:paraId="5CFF5090" w14:textId="77777777" w:rsidR="009B1D68" w:rsidRPr="009B1D68" w:rsidRDefault="00914547" w:rsidP="009B1D68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исполняет поручения </w:t>
      </w:r>
      <w:r w:rsidR="00E52194">
        <w:rPr>
          <w:rFonts w:ascii="Times New Roman" w:hAnsi="Times New Roman" w:cs="Times New Roman"/>
        </w:rPr>
        <w:t>к</w:t>
      </w:r>
      <w:r w:rsidR="009B1D68" w:rsidRPr="009B1D68">
        <w:rPr>
          <w:rFonts w:ascii="Times New Roman" w:hAnsi="Times New Roman" w:cs="Times New Roman"/>
        </w:rPr>
        <w:t>лиентов при соблюдении следующих условий:</w:t>
      </w:r>
    </w:p>
    <w:p w14:paraId="49C29DEC" w14:textId="77777777" w:rsidR="009B1D68" w:rsidRPr="009B1D68" w:rsidRDefault="009B1D68" w:rsidP="00914547">
      <w:pPr>
        <w:pStyle w:val="a3"/>
        <w:numPr>
          <w:ilvl w:val="0"/>
          <w:numId w:val="1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9B1D68">
        <w:rPr>
          <w:rFonts w:ascii="Times New Roman" w:hAnsi="Times New Roman" w:cs="Times New Roman"/>
        </w:rPr>
        <w:t>поручение подано способом, установленным договором о брокерском обслуживании;</w:t>
      </w:r>
    </w:p>
    <w:p w14:paraId="4A313901" w14:textId="77777777" w:rsidR="009B1D68" w:rsidRPr="009B1D68" w:rsidRDefault="009B1D68" w:rsidP="00914547">
      <w:pPr>
        <w:pStyle w:val="a3"/>
        <w:numPr>
          <w:ilvl w:val="0"/>
          <w:numId w:val="1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9B1D68">
        <w:rPr>
          <w:rFonts w:ascii="Times New Roman" w:hAnsi="Times New Roman" w:cs="Times New Roman"/>
        </w:rPr>
        <w:t>поручение содержит все существенные условия, установленные договором о брокерском обслуживании, а также содержит обязательные реквизиты и соответствует установленной Банком форме, если это предусмотрено договором о брокерском обслуживании;</w:t>
      </w:r>
    </w:p>
    <w:p w14:paraId="5D64C622" w14:textId="77777777" w:rsidR="009B1D68" w:rsidRPr="009B1D68" w:rsidRDefault="009B1D68" w:rsidP="00914547">
      <w:pPr>
        <w:pStyle w:val="a3"/>
        <w:numPr>
          <w:ilvl w:val="0"/>
          <w:numId w:val="1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9B1D68">
        <w:rPr>
          <w:rFonts w:ascii="Times New Roman" w:hAnsi="Times New Roman" w:cs="Times New Roman"/>
        </w:rPr>
        <w:t>наступил срок и (или) условие исполнения поручения, если поручение содержит срок и (или) условие его исполнения;</w:t>
      </w:r>
    </w:p>
    <w:p w14:paraId="7E120055" w14:textId="77777777" w:rsidR="009B1D68" w:rsidRPr="009B1D68" w:rsidRDefault="009B1D68" w:rsidP="00914547">
      <w:pPr>
        <w:pStyle w:val="a3"/>
        <w:numPr>
          <w:ilvl w:val="0"/>
          <w:numId w:val="1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9B1D68">
        <w:rPr>
          <w:rFonts w:ascii="Times New Roman" w:hAnsi="Times New Roman" w:cs="Times New Roman"/>
        </w:rPr>
        <w:t>отсутствуют основания для отказа в приеме и (или) исполнении поручения, если такие основания установлены договором о брокерском обслуживании, законодательством Российской Федерации, стандарт</w:t>
      </w:r>
      <w:r w:rsidR="00D0420D">
        <w:rPr>
          <w:rFonts w:ascii="Times New Roman" w:hAnsi="Times New Roman" w:cs="Times New Roman"/>
        </w:rPr>
        <w:t>ами СРО НФА</w:t>
      </w:r>
      <w:r w:rsidRPr="009B1D68">
        <w:rPr>
          <w:rFonts w:ascii="Times New Roman" w:hAnsi="Times New Roman" w:cs="Times New Roman"/>
        </w:rPr>
        <w:t>.</w:t>
      </w:r>
    </w:p>
    <w:p w14:paraId="13A3B1FF" w14:textId="77777777" w:rsidR="008B094A" w:rsidRPr="000E1C4F" w:rsidRDefault="008B094A" w:rsidP="000E1C4F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совершения торговых операций за счёт клиента на лучших условиях, Банк</w:t>
      </w:r>
      <w:r w:rsidR="000E1C4F">
        <w:rPr>
          <w:rFonts w:ascii="Times New Roman" w:hAnsi="Times New Roman" w:cs="Times New Roman"/>
        </w:rPr>
        <w:t xml:space="preserve"> </w:t>
      </w:r>
      <w:r w:rsidRPr="000E1C4F">
        <w:rPr>
          <w:rFonts w:ascii="Times New Roman" w:hAnsi="Times New Roman" w:cs="Times New Roman"/>
        </w:rPr>
        <w:t xml:space="preserve">принимает во внимание следующую информацию: </w:t>
      </w:r>
    </w:p>
    <w:p w14:paraId="09F03385" w14:textId="77777777" w:rsidR="008B094A" w:rsidRPr="008B094A" w:rsidRDefault="008B094A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8B094A">
        <w:rPr>
          <w:rFonts w:ascii="Times New Roman" w:hAnsi="Times New Roman" w:cs="Times New Roman"/>
        </w:rPr>
        <w:t xml:space="preserve">цену сделки; </w:t>
      </w:r>
    </w:p>
    <w:p w14:paraId="5EF52B6A" w14:textId="77777777" w:rsidR="008B094A" w:rsidRPr="008B094A" w:rsidRDefault="008B094A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8B094A">
        <w:rPr>
          <w:rFonts w:ascii="Times New Roman" w:hAnsi="Times New Roman" w:cs="Times New Roman"/>
        </w:rPr>
        <w:t xml:space="preserve">расходы, связанных с совершением сделки и осуществлением расчетов по ней; </w:t>
      </w:r>
    </w:p>
    <w:p w14:paraId="7E8F60E3" w14:textId="77777777" w:rsidR="008B094A" w:rsidRPr="008B094A" w:rsidRDefault="002F0192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исполнения п</w:t>
      </w:r>
      <w:r w:rsidR="008B094A" w:rsidRPr="008B094A">
        <w:rPr>
          <w:rFonts w:ascii="Times New Roman" w:hAnsi="Times New Roman" w:cs="Times New Roman"/>
        </w:rPr>
        <w:t xml:space="preserve">оручения; </w:t>
      </w:r>
    </w:p>
    <w:p w14:paraId="5D84ED6F" w14:textId="77777777" w:rsidR="008B094A" w:rsidRPr="008B094A" w:rsidRDefault="002F0192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исполнения п</w:t>
      </w:r>
      <w:r w:rsidR="008B094A" w:rsidRPr="008B094A">
        <w:rPr>
          <w:rFonts w:ascii="Times New Roman" w:hAnsi="Times New Roman" w:cs="Times New Roman"/>
        </w:rPr>
        <w:t xml:space="preserve">оручения в полном объеме; </w:t>
      </w:r>
    </w:p>
    <w:p w14:paraId="4F9596A9" w14:textId="77777777" w:rsidR="008B094A" w:rsidRPr="008B094A" w:rsidRDefault="008B094A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8B094A">
        <w:rPr>
          <w:rFonts w:ascii="Times New Roman" w:hAnsi="Times New Roman" w:cs="Times New Roman"/>
        </w:rPr>
        <w:t xml:space="preserve">риски неисполнения сделки, а также признания совершенной сделки недействительной; </w:t>
      </w:r>
    </w:p>
    <w:p w14:paraId="38C1BB58" w14:textId="77777777" w:rsidR="008B094A" w:rsidRPr="008B094A" w:rsidRDefault="008B094A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8B094A">
        <w:rPr>
          <w:rFonts w:ascii="Times New Roman" w:hAnsi="Times New Roman" w:cs="Times New Roman"/>
        </w:rPr>
        <w:t xml:space="preserve">период времени, в который должна быть совершена сделка; </w:t>
      </w:r>
    </w:p>
    <w:p w14:paraId="7B3CF2A9" w14:textId="77777777" w:rsidR="002F0192" w:rsidRDefault="008B094A" w:rsidP="000E1C4F">
      <w:pPr>
        <w:pStyle w:val="a3"/>
        <w:numPr>
          <w:ilvl w:val="0"/>
          <w:numId w:val="19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0E1C4F">
        <w:rPr>
          <w:rFonts w:ascii="Times New Roman" w:hAnsi="Times New Roman" w:cs="Times New Roman"/>
        </w:rPr>
        <w:t>иную ин</w:t>
      </w:r>
      <w:r w:rsidR="002F0192">
        <w:rPr>
          <w:rFonts w:ascii="Times New Roman" w:hAnsi="Times New Roman" w:cs="Times New Roman"/>
        </w:rPr>
        <w:t>формацию, имеющую значение для к</w:t>
      </w:r>
      <w:r w:rsidRPr="000E1C4F">
        <w:rPr>
          <w:rFonts w:ascii="Times New Roman" w:hAnsi="Times New Roman" w:cs="Times New Roman"/>
        </w:rPr>
        <w:t xml:space="preserve">лиента. </w:t>
      </w:r>
    </w:p>
    <w:p w14:paraId="6C363979" w14:textId="77777777" w:rsidR="00D347BB" w:rsidRPr="00D347BB" w:rsidRDefault="004E6686" w:rsidP="00D347BB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Лучшими условиями исполнения поручения к</w:t>
      </w:r>
      <w:r w:rsidR="00D347BB" w:rsidRPr="00D347BB">
        <w:rPr>
          <w:rFonts w:ascii="Times New Roman" w:hAnsi="Times New Roman" w:cs="Times New Roman"/>
        </w:rPr>
        <w:t xml:space="preserve">лиента являются: </w:t>
      </w:r>
    </w:p>
    <w:p w14:paraId="7747CF5D" w14:textId="77777777" w:rsidR="00D347BB" w:rsidRPr="00D347BB" w:rsidRDefault="00D347BB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347BB">
        <w:rPr>
          <w:rFonts w:ascii="Times New Roman" w:hAnsi="Times New Roman" w:cs="Times New Roman"/>
        </w:rPr>
        <w:t xml:space="preserve">лучшая возможная цена сделки на момент выставления заявки (с учетом объема операции); </w:t>
      </w:r>
    </w:p>
    <w:p w14:paraId="18EB1F18" w14:textId="77777777" w:rsidR="00D347BB" w:rsidRPr="00D347BB" w:rsidRDefault="00D347BB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347BB">
        <w:rPr>
          <w:rFonts w:ascii="Times New Roman" w:hAnsi="Times New Roman" w:cs="Times New Roman"/>
        </w:rPr>
        <w:t xml:space="preserve">минимальные расходы на совершение сделки и расчеты по ней; </w:t>
      </w:r>
    </w:p>
    <w:p w14:paraId="0F149C63" w14:textId="77777777" w:rsidR="00D347BB" w:rsidRPr="00D347BB" w:rsidRDefault="00D347BB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347BB">
        <w:rPr>
          <w:rFonts w:ascii="Times New Roman" w:hAnsi="Times New Roman" w:cs="Times New Roman"/>
        </w:rPr>
        <w:t xml:space="preserve">минимальный срок исполнения сделки; </w:t>
      </w:r>
    </w:p>
    <w:p w14:paraId="24C02C14" w14:textId="77777777" w:rsidR="00D347BB" w:rsidRPr="00D347BB" w:rsidRDefault="004E6686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п</w:t>
      </w:r>
      <w:r w:rsidR="00D347BB" w:rsidRPr="00D347BB">
        <w:rPr>
          <w:rFonts w:ascii="Times New Roman" w:hAnsi="Times New Roman" w:cs="Times New Roman"/>
        </w:rPr>
        <w:t xml:space="preserve">оручения по возможности в полном объеме; </w:t>
      </w:r>
    </w:p>
    <w:p w14:paraId="7B67B1E3" w14:textId="77777777" w:rsidR="00D347BB" w:rsidRPr="00D347BB" w:rsidRDefault="00D347BB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347BB">
        <w:rPr>
          <w:rFonts w:ascii="Times New Roman" w:hAnsi="Times New Roman" w:cs="Times New Roman"/>
        </w:rPr>
        <w:t xml:space="preserve">минимизация рисков неисполнения сделки, а также признания совершенной сделки недействительной; </w:t>
      </w:r>
    </w:p>
    <w:p w14:paraId="54203B43" w14:textId="77777777" w:rsidR="00D347BB" w:rsidRPr="00D347BB" w:rsidRDefault="004E6686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п</w:t>
      </w:r>
      <w:r w:rsidR="00D347BB" w:rsidRPr="00D347BB">
        <w:rPr>
          <w:rFonts w:ascii="Times New Roman" w:hAnsi="Times New Roman" w:cs="Times New Roman"/>
        </w:rPr>
        <w:t>оручения</w:t>
      </w:r>
      <w:r>
        <w:rPr>
          <w:rFonts w:ascii="Times New Roman" w:hAnsi="Times New Roman" w:cs="Times New Roman"/>
        </w:rPr>
        <w:t xml:space="preserve"> в период времени, указанный в п</w:t>
      </w:r>
      <w:r w:rsidR="00D347BB" w:rsidRPr="00D347BB">
        <w:rPr>
          <w:rFonts w:ascii="Times New Roman" w:hAnsi="Times New Roman" w:cs="Times New Roman"/>
        </w:rPr>
        <w:t xml:space="preserve">оручении; </w:t>
      </w:r>
    </w:p>
    <w:p w14:paraId="738E6575" w14:textId="77777777" w:rsidR="00D347BB" w:rsidRDefault="00D347BB" w:rsidP="00D347BB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347BB">
        <w:rPr>
          <w:rFonts w:ascii="Times New Roman" w:hAnsi="Times New Roman" w:cs="Times New Roman"/>
        </w:rPr>
        <w:t>другие условия, имеющие знач</w:t>
      </w:r>
      <w:r w:rsidR="004E6686">
        <w:rPr>
          <w:rFonts w:ascii="Times New Roman" w:hAnsi="Times New Roman" w:cs="Times New Roman"/>
        </w:rPr>
        <w:t>ения для наилучшего исполнения поручения к</w:t>
      </w:r>
      <w:r w:rsidRPr="00D347BB">
        <w:rPr>
          <w:rFonts w:ascii="Times New Roman" w:hAnsi="Times New Roman" w:cs="Times New Roman"/>
        </w:rPr>
        <w:t>лиента.</w:t>
      </w:r>
    </w:p>
    <w:p w14:paraId="38D73DD4" w14:textId="6708D920" w:rsidR="00F46002" w:rsidRPr="00F46002" w:rsidRDefault="00F46002" w:rsidP="00F46002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F46002">
        <w:rPr>
          <w:rFonts w:ascii="Times New Roman" w:hAnsi="Times New Roman" w:cs="Times New Roman"/>
        </w:rPr>
        <w:t>Выпол</w:t>
      </w:r>
      <w:r w:rsidR="00DA1CDC">
        <w:rPr>
          <w:rFonts w:ascii="Times New Roman" w:hAnsi="Times New Roman" w:cs="Times New Roman"/>
        </w:rPr>
        <w:t>нение требования п. 3.2 Порядка</w:t>
      </w:r>
      <w:r w:rsidRPr="00F46002">
        <w:rPr>
          <w:rFonts w:ascii="Times New Roman" w:hAnsi="Times New Roman" w:cs="Times New Roman"/>
        </w:rPr>
        <w:t xml:space="preserve"> осуществляется Банком с учетом</w:t>
      </w:r>
      <w:r>
        <w:rPr>
          <w:rFonts w:ascii="Times New Roman" w:hAnsi="Times New Roman" w:cs="Times New Roman"/>
        </w:rPr>
        <w:t xml:space="preserve"> </w:t>
      </w:r>
      <w:r w:rsidRPr="00F46002">
        <w:rPr>
          <w:rFonts w:ascii="Times New Roman" w:hAnsi="Times New Roman" w:cs="Times New Roman"/>
        </w:rPr>
        <w:t xml:space="preserve">следующих критериев: </w:t>
      </w:r>
    </w:p>
    <w:p w14:paraId="346BBF77" w14:textId="77777777" w:rsidR="00F46002" w:rsidRPr="00F46002" w:rsidRDefault="00F46002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F46002">
        <w:rPr>
          <w:rFonts w:ascii="Times New Roman" w:hAnsi="Times New Roman" w:cs="Times New Roman"/>
        </w:rPr>
        <w:t>словий</w:t>
      </w:r>
      <w:r>
        <w:rPr>
          <w:rFonts w:ascii="Times New Roman" w:hAnsi="Times New Roman" w:cs="Times New Roman"/>
        </w:rPr>
        <w:t xml:space="preserve">, </w:t>
      </w:r>
      <w:r w:rsidRPr="005D6041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 xml:space="preserve">усмотренных </w:t>
      </w:r>
      <w:r w:rsidRPr="009C5427">
        <w:rPr>
          <w:rFonts w:ascii="Times New Roman" w:hAnsi="Times New Roman" w:cs="Times New Roman"/>
        </w:rPr>
        <w:t>Регламентом оказания брокерск</w:t>
      </w:r>
      <w:r>
        <w:rPr>
          <w:rFonts w:ascii="Times New Roman" w:hAnsi="Times New Roman" w:cs="Times New Roman"/>
        </w:rPr>
        <w:t xml:space="preserve">их услуг на рынке ценных бумаг </w:t>
      </w:r>
      <w:r w:rsidRPr="009C5427">
        <w:rPr>
          <w:rFonts w:ascii="Times New Roman" w:hAnsi="Times New Roman" w:cs="Times New Roman"/>
        </w:rPr>
        <w:t>АО Банк «Объединенный капитал»</w:t>
      </w:r>
      <w:r w:rsidRPr="00F46002">
        <w:rPr>
          <w:rFonts w:ascii="Times New Roman" w:hAnsi="Times New Roman" w:cs="Times New Roman"/>
        </w:rPr>
        <w:t xml:space="preserve">; </w:t>
      </w:r>
    </w:p>
    <w:p w14:paraId="249CFCB8" w14:textId="77777777" w:rsidR="00F46002" w:rsidRPr="00F46002" w:rsidRDefault="00F46002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к</w:t>
      </w:r>
      <w:r w:rsidRPr="00F46002">
        <w:rPr>
          <w:rFonts w:ascii="Times New Roman" w:hAnsi="Times New Roman" w:cs="Times New Roman"/>
        </w:rPr>
        <w:t xml:space="preserve">лиента (квалифицированный инвестор в силу закона, инвестор, признанный квалифицированным, или неквалифицированный инвестор); </w:t>
      </w:r>
    </w:p>
    <w:p w14:paraId="3597D312" w14:textId="77777777" w:rsidR="00F46002" w:rsidRPr="00F46002" w:rsidRDefault="000256CE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существа п</w:t>
      </w:r>
      <w:r w:rsidR="00F46002" w:rsidRPr="00F46002">
        <w:rPr>
          <w:rFonts w:ascii="Times New Roman" w:hAnsi="Times New Roman" w:cs="Times New Roman"/>
        </w:rPr>
        <w:t>оручения, включая специальные инстр</w:t>
      </w:r>
      <w:r>
        <w:rPr>
          <w:rFonts w:ascii="Times New Roman" w:hAnsi="Times New Roman" w:cs="Times New Roman"/>
        </w:rPr>
        <w:t>укции, если такие содержатся в п</w:t>
      </w:r>
      <w:r w:rsidR="00F46002" w:rsidRPr="00F46002">
        <w:rPr>
          <w:rFonts w:ascii="Times New Roman" w:hAnsi="Times New Roman" w:cs="Times New Roman"/>
        </w:rPr>
        <w:t xml:space="preserve">оручении; </w:t>
      </w:r>
    </w:p>
    <w:p w14:paraId="1C89242C" w14:textId="77777777" w:rsidR="00F46002" w:rsidRPr="00F46002" w:rsidRDefault="00F46002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F46002">
        <w:rPr>
          <w:rFonts w:ascii="Times New Roman" w:hAnsi="Times New Roman" w:cs="Times New Roman"/>
        </w:rPr>
        <w:t>характеристик финансового инструмент</w:t>
      </w:r>
      <w:r>
        <w:rPr>
          <w:rFonts w:ascii="Times New Roman" w:hAnsi="Times New Roman" w:cs="Times New Roman"/>
        </w:rPr>
        <w:t>а, в отношении которого дается п</w:t>
      </w:r>
      <w:r w:rsidRPr="00F46002">
        <w:rPr>
          <w:rFonts w:ascii="Times New Roman" w:hAnsi="Times New Roman" w:cs="Times New Roman"/>
        </w:rPr>
        <w:t xml:space="preserve">оручение; </w:t>
      </w:r>
    </w:p>
    <w:p w14:paraId="543D5C2A" w14:textId="77777777" w:rsidR="00F46002" w:rsidRDefault="00F46002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F46002">
        <w:rPr>
          <w:rFonts w:ascii="Times New Roman" w:hAnsi="Times New Roman" w:cs="Times New Roman"/>
        </w:rPr>
        <w:t xml:space="preserve">торговых характеристик места исполнения </w:t>
      </w:r>
      <w:r>
        <w:rPr>
          <w:rFonts w:ascii="Times New Roman" w:hAnsi="Times New Roman" w:cs="Times New Roman"/>
        </w:rPr>
        <w:t>поручения к</w:t>
      </w:r>
      <w:r w:rsidRPr="00F46002">
        <w:rPr>
          <w:rFonts w:ascii="Times New Roman" w:hAnsi="Times New Roman" w:cs="Times New Roman"/>
        </w:rPr>
        <w:t>лиента или контрагента, через кото</w:t>
      </w:r>
      <w:r>
        <w:rPr>
          <w:rFonts w:ascii="Times New Roman" w:hAnsi="Times New Roman" w:cs="Times New Roman"/>
        </w:rPr>
        <w:t>рого осуществляется исполнение п</w:t>
      </w:r>
      <w:r w:rsidR="000256CE">
        <w:rPr>
          <w:rFonts w:ascii="Times New Roman" w:hAnsi="Times New Roman" w:cs="Times New Roman"/>
        </w:rPr>
        <w:t>оручения;</w:t>
      </w:r>
      <w:r w:rsidRPr="00F46002">
        <w:rPr>
          <w:rFonts w:ascii="Times New Roman" w:hAnsi="Times New Roman" w:cs="Times New Roman"/>
        </w:rPr>
        <w:t xml:space="preserve"> </w:t>
      </w:r>
    </w:p>
    <w:p w14:paraId="5105893B" w14:textId="77777777" w:rsidR="00F46002" w:rsidRPr="00F46002" w:rsidRDefault="00F46002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5D6041">
        <w:rPr>
          <w:rFonts w:ascii="Times New Roman" w:hAnsi="Times New Roman" w:cs="Times New Roman"/>
        </w:rPr>
        <w:t xml:space="preserve">конкретных </w:t>
      </w:r>
      <w:r w:rsidRPr="00BD71F3">
        <w:rPr>
          <w:rFonts w:ascii="Times New Roman" w:hAnsi="Times New Roman" w:cs="Times New Roman"/>
        </w:rPr>
        <w:t>обстоятельств, сложивш</w:t>
      </w:r>
      <w:r>
        <w:rPr>
          <w:rFonts w:ascii="Times New Roman" w:hAnsi="Times New Roman" w:cs="Times New Roman"/>
        </w:rPr>
        <w:t>ихся в момент подачи поручения к</w:t>
      </w:r>
      <w:r w:rsidRPr="00BD71F3">
        <w:rPr>
          <w:rFonts w:ascii="Times New Roman" w:hAnsi="Times New Roman" w:cs="Times New Roman"/>
        </w:rPr>
        <w:t>лиента (заключения сделки)</w:t>
      </w:r>
      <w:r w:rsidR="000256CE">
        <w:rPr>
          <w:rFonts w:ascii="Times New Roman" w:hAnsi="Times New Roman" w:cs="Times New Roman"/>
        </w:rPr>
        <w:t>;</w:t>
      </w:r>
    </w:p>
    <w:p w14:paraId="5C6E6B55" w14:textId="77777777" w:rsidR="00F46002" w:rsidRDefault="00F46002" w:rsidP="00F46002">
      <w:pPr>
        <w:pStyle w:val="a3"/>
        <w:numPr>
          <w:ilvl w:val="0"/>
          <w:numId w:val="20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F46002">
        <w:rPr>
          <w:rFonts w:ascii="Times New Roman" w:hAnsi="Times New Roman" w:cs="Times New Roman"/>
        </w:rPr>
        <w:t>сложившейся практики и ограничений на совершение сделок на финансовом рынке</w:t>
      </w:r>
      <w:r w:rsidR="000256CE">
        <w:rPr>
          <w:rFonts w:ascii="Times New Roman" w:hAnsi="Times New Roman" w:cs="Times New Roman"/>
        </w:rPr>
        <w:t>.</w:t>
      </w:r>
    </w:p>
    <w:p w14:paraId="13187FFC" w14:textId="21B0F78F" w:rsidR="00111C4C" w:rsidRDefault="002F0192" w:rsidP="00111C4C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2F0192">
        <w:rPr>
          <w:rFonts w:ascii="Times New Roman" w:hAnsi="Times New Roman" w:cs="Times New Roman"/>
        </w:rPr>
        <w:t xml:space="preserve">Требование об исполнении поручений клиента на лучших условиях не распространяется на </w:t>
      </w:r>
      <w:r w:rsidR="004D3438">
        <w:rPr>
          <w:rFonts w:ascii="Times New Roman" w:hAnsi="Times New Roman" w:cs="Times New Roman"/>
        </w:rPr>
        <w:t xml:space="preserve">случаи, когда клиент </w:t>
      </w:r>
      <w:r w:rsidR="00111C4C" w:rsidRPr="00111C4C">
        <w:rPr>
          <w:rFonts w:ascii="Times New Roman" w:hAnsi="Times New Roman" w:cs="Times New Roman"/>
        </w:rPr>
        <w:t xml:space="preserve">поручил Банку сделать третьему </w:t>
      </w:r>
      <w:r w:rsidR="00111C4C">
        <w:rPr>
          <w:rFonts w:ascii="Times New Roman" w:hAnsi="Times New Roman" w:cs="Times New Roman"/>
        </w:rPr>
        <w:t>лицу предложение на совершение т</w:t>
      </w:r>
      <w:r w:rsidR="00111C4C" w:rsidRPr="00111C4C">
        <w:rPr>
          <w:rFonts w:ascii="Times New Roman" w:hAnsi="Times New Roman" w:cs="Times New Roman"/>
        </w:rPr>
        <w:t>орговой операции с указанием цены и (или) иных условий, которые Б</w:t>
      </w:r>
      <w:r w:rsidR="00111C4C">
        <w:rPr>
          <w:rFonts w:ascii="Times New Roman" w:hAnsi="Times New Roman" w:cs="Times New Roman"/>
        </w:rPr>
        <w:t>анк в соответствии с условиями д</w:t>
      </w:r>
      <w:r w:rsidR="00111C4C" w:rsidRPr="00111C4C">
        <w:rPr>
          <w:rFonts w:ascii="Times New Roman" w:hAnsi="Times New Roman" w:cs="Times New Roman"/>
        </w:rPr>
        <w:t xml:space="preserve">оговора не вправе изменять, либо принять конкретное предложение третьего лица на совершение сделки по указанной в нем цене и (или) на указанных в нем иных условиях. </w:t>
      </w:r>
    </w:p>
    <w:p w14:paraId="7C16061B" w14:textId="5165D73F" w:rsidR="00AE48F9" w:rsidRPr="00AE48F9" w:rsidRDefault="00AE48F9" w:rsidP="00AE48F9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AE48F9">
        <w:rPr>
          <w:rFonts w:ascii="Times New Roman" w:hAnsi="Times New Roman" w:cs="Times New Roman"/>
        </w:rPr>
        <w:t>Банк самостоятельно определяет приоритетность лучших услови</w:t>
      </w:r>
      <w:r w:rsidR="00DA1CDC">
        <w:rPr>
          <w:rFonts w:ascii="Times New Roman" w:hAnsi="Times New Roman" w:cs="Times New Roman"/>
        </w:rPr>
        <w:t>й, изложенных в п. 3.3. настоящего Порядка</w:t>
      </w:r>
      <w:r>
        <w:rPr>
          <w:rFonts w:ascii="Times New Roman" w:hAnsi="Times New Roman" w:cs="Times New Roman"/>
        </w:rPr>
        <w:t>, действуя в интересах к</w:t>
      </w:r>
      <w:r w:rsidRPr="00AE48F9">
        <w:rPr>
          <w:rFonts w:ascii="Times New Roman" w:hAnsi="Times New Roman" w:cs="Times New Roman"/>
        </w:rPr>
        <w:t>лиента с учетом сложившихся обстоятельств.</w:t>
      </w:r>
    </w:p>
    <w:p w14:paraId="2DF2B3CD" w14:textId="07097E1F" w:rsidR="00DE473B" w:rsidRDefault="00AE48F9" w:rsidP="00AE48F9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интересы к</w:t>
      </w:r>
      <w:r w:rsidRPr="00AE48F9">
        <w:rPr>
          <w:rFonts w:ascii="Times New Roman" w:hAnsi="Times New Roman" w:cs="Times New Roman"/>
        </w:rPr>
        <w:t xml:space="preserve">лиента или иные обстоятельства вынуждают Банк отступить от принципа исполнения поручений на лучших условиях, </w:t>
      </w:r>
      <w:r>
        <w:rPr>
          <w:rFonts w:ascii="Times New Roman" w:hAnsi="Times New Roman" w:cs="Times New Roman"/>
        </w:rPr>
        <w:t>Банк по письменному требованию к</w:t>
      </w:r>
      <w:r w:rsidRPr="00AE48F9">
        <w:rPr>
          <w:rFonts w:ascii="Times New Roman" w:hAnsi="Times New Roman" w:cs="Times New Roman"/>
        </w:rPr>
        <w:t>лиента, саморегулируемой организации, членом которой он является, предоставляет объяснения своих действий и подтверждение указанных обстоятельств.</w:t>
      </w:r>
    </w:p>
    <w:p w14:paraId="52E87D5D" w14:textId="77777777" w:rsidR="00D54A25" w:rsidRDefault="00D54A25" w:rsidP="00D54A25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D54A25">
        <w:rPr>
          <w:rFonts w:ascii="Times New Roman" w:hAnsi="Times New Roman"/>
          <w:color w:val="auto"/>
          <w:sz w:val="24"/>
          <w:szCs w:val="24"/>
        </w:rPr>
        <w:t>ЗАКЛЮЧИТЕЛЬНЫЕ ПОЛОЖЕНИЯ</w:t>
      </w:r>
    </w:p>
    <w:p w14:paraId="3C1E33F9" w14:textId="77777777" w:rsidR="00D54A25" w:rsidRPr="00D54A25" w:rsidRDefault="00D54A25" w:rsidP="00D54A25"/>
    <w:p w14:paraId="6DBCB377" w14:textId="77777777" w:rsidR="00D54A25" w:rsidRPr="00D54A25" w:rsidRDefault="00D54A25" w:rsidP="00D54A25">
      <w:pPr>
        <w:pStyle w:val="a3"/>
        <w:numPr>
          <w:ilvl w:val="0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  <w:vanish/>
        </w:rPr>
      </w:pPr>
    </w:p>
    <w:p w14:paraId="7B3DDE87" w14:textId="17C3793B" w:rsidR="00D54A25" w:rsidRDefault="00D54A25" w:rsidP="00D54A25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54A25">
        <w:rPr>
          <w:rFonts w:ascii="Times New Roman" w:hAnsi="Times New Roman" w:cs="Times New Roman"/>
        </w:rPr>
        <w:t>Банк на постоянной основе осуществляет контроль з</w:t>
      </w:r>
      <w:r w:rsidR="00DA1CDC">
        <w:rPr>
          <w:rFonts w:ascii="Times New Roman" w:hAnsi="Times New Roman" w:cs="Times New Roman"/>
        </w:rPr>
        <w:t>а исполнением настоящего Порядка</w:t>
      </w:r>
      <w:r w:rsidRPr="00D54A25">
        <w:rPr>
          <w:rFonts w:ascii="Times New Roman" w:hAnsi="Times New Roman" w:cs="Times New Roman"/>
        </w:rPr>
        <w:t xml:space="preserve">. </w:t>
      </w:r>
    </w:p>
    <w:p w14:paraId="0F8EDC74" w14:textId="0CC56BFD" w:rsidR="00D54A25" w:rsidRPr="00D54A25" w:rsidRDefault="00D54A25" w:rsidP="00D54A25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 w:rsidRPr="00D54A25">
        <w:rPr>
          <w:rFonts w:ascii="Times New Roman" w:hAnsi="Times New Roman" w:cs="Times New Roman"/>
        </w:rPr>
        <w:t>Внесение измен</w:t>
      </w:r>
      <w:r w:rsidR="00DA1CDC">
        <w:rPr>
          <w:rFonts w:ascii="Times New Roman" w:hAnsi="Times New Roman" w:cs="Times New Roman"/>
        </w:rPr>
        <w:t>ений и/или дополнений в Порядок</w:t>
      </w:r>
      <w:r w:rsidRPr="00D54A25">
        <w:rPr>
          <w:rFonts w:ascii="Times New Roman" w:hAnsi="Times New Roman" w:cs="Times New Roman"/>
        </w:rPr>
        <w:t xml:space="preserve"> производится Банком в одностороннем порядке с учетом требования законодательства Российской Федерации и Стандартов</w:t>
      </w:r>
      <w:r>
        <w:rPr>
          <w:rFonts w:ascii="Times New Roman" w:hAnsi="Times New Roman" w:cs="Times New Roman"/>
        </w:rPr>
        <w:t xml:space="preserve"> СРО НФА</w:t>
      </w:r>
      <w:r w:rsidRPr="00D54A25">
        <w:rPr>
          <w:rFonts w:ascii="Times New Roman" w:hAnsi="Times New Roman" w:cs="Times New Roman"/>
        </w:rPr>
        <w:t>.</w:t>
      </w:r>
    </w:p>
    <w:p w14:paraId="76AC07E8" w14:textId="43B2158E" w:rsidR="00D54A25" w:rsidRDefault="00DA1CDC" w:rsidP="00D54A25">
      <w:pPr>
        <w:pStyle w:val="a3"/>
        <w:numPr>
          <w:ilvl w:val="1"/>
          <w:numId w:val="7"/>
        </w:numPr>
        <w:adjustRightInd w:val="0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размещает настоящий Порядок</w:t>
      </w:r>
      <w:r w:rsidR="00D54A25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своём </w:t>
      </w:r>
      <w:r w:rsidR="00D54A25">
        <w:rPr>
          <w:rFonts w:ascii="Times New Roman" w:hAnsi="Times New Roman" w:cs="Times New Roman"/>
        </w:rPr>
        <w:t xml:space="preserve">интернет-сайте </w:t>
      </w:r>
      <w:hyperlink r:id="rId5" w:history="1">
        <w:r w:rsidR="00D54A25" w:rsidRPr="0051429E">
          <w:rPr>
            <w:rStyle w:val="a8"/>
            <w:rFonts w:ascii="Times New Roman" w:hAnsi="Times New Roman" w:cs="Times New Roman"/>
          </w:rPr>
          <w:t>http://www.okbank.ru/</w:t>
        </w:r>
      </w:hyperlink>
      <w:r w:rsidR="00D54A25" w:rsidRPr="00D54A25">
        <w:rPr>
          <w:rFonts w:ascii="Times New Roman" w:hAnsi="Times New Roman" w:cs="Times New Roman"/>
        </w:rPr>
        <w:t>.</w:t>
      </w:r>
    </w:p>
    <w:p w14:paraId="40B85135" w14:textId="77777777" w:rsidR="00D54A25" w:rsidRPr="00D54A25" w:rsidRDefault="00D54A25" w:rsidP="00D54A25">
      <w:pPr>
        <w:pStyle w:val="a3"/>
        <w:adjustRightInd w:val="0"/>
        <w:spacing w:line="264" w:lineRule="auto"/>
        <w:ind w:left="510"/>
        <w:jc w:val="both"/>
        <w:rPr>
          <w:rFonts w:ascii="Times New Roman" w:hAnsi="Times New Roman" w:cs="Times New Roman"/>
        </w:rPr>
      </w:pPr>
    </w:p>
    <w:p w14:paraId="7A1036E4" w14:textId="77777777" w:rsidR="00D54A25" w:rsidRPr="00111C4C" w:rsidRDefault="00D54A25" w:rsidP="00D54A25">
      <w:pPr>
        <w:pStyle w:val="a3"/>
        <w:adjustRightInd w:val="0"/>
        <w:spacing w:line="264" w:lineRule="auto"/>
        <w:ind w:left="510"/>
        <w:jc w:val="both"/>
        <w:rPr>
          <w:rFonts w:ascii="Times New Roman" w:hAnsi="Times New Roman" w:cs="Times New Roman"/>
        </w:rPr>
      </w:pPr>
    </w:p>
    <w:p w14:paraId="5B16C475" w14:textId="77777777" w:rsidR="009670BC" w:rsidRPr="00D54A25" w:rsidRDefault="009670BC" w:rsidP="00D54A25">
      <w:pPr>
        <w:pStyle w:val="a3"/>
        <w:adjustRightInd w:val="0"/>
        <w:spacing w:line="264" w:lineRule="auto"/>
        <w:ind w:left="510"/>
        <w:jc w:val="both"/>
        <w:rPr>
          <w:rFonts w:ascii="Times New Roman" w:hAnsi="Times New Roman" w:cs="Times New Roman"/>
        </w:rPr>
      </w:pPr>
    </w:p>
    <w:p w14:paraId="137BB19F" w14:textId="77777777" w:rsidR="009670BC" w:rsidRDefault="009670BC" w:rsidP="002B6F85">
      <w:pPr>
        <w:jc w:val="center"/>
        <w:rPr>
          <w:rFonts w:ascii="Times New Roman" w:hAnsi="Times New Roman"/>
          <w:b/>
        </w:rPr>
      </w:pPr>
    </w:p>
    <w:p w14:paraId="0B59D092" w14:textId="77777777" w:rsidR="009670BC" w:rsidRDefault="009670BC" w:rsidP="002B6F85">
      <w:pPr>
        <w:jc w:val="center"/>
        <w:rPr>
          <w:b/>
        </w:rPr>
      </w:pPr>
    </w:p>
    <w:p w14:paraId="0FA3202C" w14:textId="77777777" w:rsidR="00B84B36" w:rsidRDefault="00B84B36" w:rsidP="002B6F85">
      <w:pPr>
        <w:jc w:val="center"/>
        <w:rPr>
          <w:b/>
        </w:rPr>
      </w:pPr>
    </w:p>
    <w:p w14:paraId="0015F521" w14:textId="77777777" w:rsidR="00B84B36" w:rsidRDefault="00B84B36" w:rsidP="002B6F85">
      <w:pPr>
        <w:jc w:val="center"/>
        <w:rPr>
          <w:b/>
        </w:rPr>
      </w:pPr>
    </w:p>
    <w:p w14:paraId="6569AEDB" w14:textId="77777777" w:rsidR="00B84B36" w:rsidRDefault="00B84B36" w:rsidP="002B6F85">
      <w:pPr>
        <w:jc w:val="center"/>
        <w:rPr>
          <w:b/>
        </w:rPr>
      </w:pPr>
    </w:p>
    <w:p w14:paraId="2265E66C" w14:textId="77777777" w:rsidR="00B84B36" w:rsidRDefault="00B84B36" w:rsidP="002B6F85">
      <w:pPr>
        <w:jc w:val="center"/>
        <w:rPr>
          <w:b/>
        </w:rPr>
      </w:pPr>
    </w:p>
    <w:p w14:paraId="3A457CB3" w14:textId="77777777" w:rsidR="00B84B36" w:rsidRDefault="00B84B36" w:rsidP="002B6F85">
      <w:pPr>
        <w:jc w:val="center"/>
        <w:rPr>
          <w:b/>
        </w:rPr>
      </w:pPr>
    </w:p>
    <w:p w14:paraId="374ABF99" w14:textId="6537E8B1" w:rsidR="00B84B36" w:rsidRDefault="00B84B36" w:rsidP="007D2D28">
      <w:pPr>
        <w:rPr>
          <w:b/>
        </w:rPr>
      </w:pPr>
    </w:p>
    <w:p w14:paraId="49A52853" w14:textId="77777777" w:rsidR="00B84B36" w:rsidRDefault="00B84B36" w:rsidP="002B6F85">
      <w:pPr>
        <w:jc w:val="center"/>
        <w:rPr>
          <w:b/>
        </w:rPr>
      </w:pPr>
    </w:p>
    <w:sectPr w:rsidR="00B8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37C50" w16cid:durableId="1F82CF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402278"/>
    <w:multiLevelType w:val="hybridMultilevel"/>
    <w:tmpl w:val="CAC1BD4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32E9A"/>
    <w:multiLevelType w:val="hybridMultilevel"/>
    <w:tmpl w:val="E27B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8E21AD"/>
    <w:multiLevelType w:val="hybridMultilevel"/>
    <w:tmpl w:val="207CCE2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C5983"/>
    <w:multiLevelType w:val="hybridMultilevel"/>
    <w:tmpl w:val="7B9C9642"/>
    <w:lvl w:ilvl="0" w:tplc="AD24E39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1E9065A"/>
    <w:multiLevelType w:val="hybridMultilevel"/>
    <w:tmpl w:val="CABC3BA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265080C"/>
    <w:multiLevelType w:val="multilevel"/>
    <w:tmpl w:val="D23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396F51"/>
    <w:multiLevelType w:val="hybridMultilevel"/>
    <w:tmpl w:val="C47E50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49669C"/>
    <w:multiLevelType w:val="hybridMultilevel"/>
    <w:tmpl w:val="8884B0C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28E3F06"/>
    <w:multiLevelType w:val="multilevel"/>
    <w:tmpl w:val="1E9E0B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274FB9"/>
    <w:multiLevelType w:val="hybridMultilevel"/>
    <w:tmpl w:val="68D653F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4D9056A8"/>
    <w:multiLevelType w:val="multilevel"/>
    <w:tmpl w:val="D23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CB6B53"/>
    <w:multiLevelType w:val="hybridMultilevel"/>
    <w:tmpl w:val="49AA6D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2E72421"/>
    <w:multiLevelType w:val="hybridMultilevel"/>
    <w:tmpl w:val="869ED2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54AA35F6"/>
    <w:multiLevelType w:val="hybridMultilevel"/>
    <w:tmpl w:val="965CDA64"/>
    <w:lvl w:ilvl="0" w:tplc="AD24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7207"/>
    <w:multiLevelType w:val="multilevel"/>
    <w:tmpl w:val="66228ED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6768C5"/>
    <w:multiLevelType w:val="multilevel"/>
    <w:tmpl w:val="1E9E0B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9E7337"/>
    <w:multiLevelType w:val="hybridMultilevel"/>
    <w:tmpl w:val="BC9C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A6CA6"/>
    <w:multiLevelType w:val="multilevel"/>
    <w:tmpl w:val="D21A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Verdana" w:hAnsi="Verdana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736F2F13"/>
    <w:multiLevelType w:val="hybridMultilevel"/>
    <w:tmpl w:val="6E9AA65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4257206"/>
    <w:multiLevelType w:val="multilevel"/>
    <w:tmpl w:val="4880BD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49E8D7C"/>
    <w:multiLevelType w:val="hybridMultilevel"/>
    <w:tmpl w:val="72BE4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4FD6A32"/>
    <w:multiLevelType w:val="hybridMultilevel"/>
    <w:tmpl w:val="A22A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17"/>
  </w:num>
  <w:num w:numId="7">
    <w:abstractNumId w:val="15"/>
  </w:num>
  <w:num w:numId="8">
    <w:abstractNumId w:val="8"/>
  </w:num>
  <w:num w:numId="9">
    <w:abstractNumId w:val="16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1"/>
  </w:num>
  <w:num w:numId="15">
    <w:abstractNumId w:val="13"/>
  </w:num>
  <w:num w:numId="16">
    <w:abstractNumId w:val="3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D"/>
    <w:rsid w:val="000256CE"/>
    <w:rsid w:val="00033DFC"/>
    <w:rsid w:val="00082103"/>
    <w:rsid w:val="000A566E"/>
    <w:rsid w:val="000B12E2"/>
    <w:rsid w:val="000E1C4F"/>
    <w:rsid w:val="00111C4C"/>
    <w:rsid w:val="00182D5E"/>
    <w:rsid w:val="001B7D56"/>
    <w:rsid w:val="001C599A"/>
    <w:rsid w:val="001D2588"/>
    <w:rsid w:val="0020015F"/>
    <w:rsid w:val="002034E4"/>
    <w:rsid w:val="00212598"/>
    <w:rsid w:val="00232C10"/>
    <w:rsid w:val="0026347C"/>
    <w:rsid w:val="0026688E"/>
    <w:rsid w:val="002B6F85"/>
    <w:rsid w:val="002F0192"/>
    <w:rsid w:val="00307560"/>
    <w:rsid w:val="00367215"/>
    <w:rsid w:val="003746A9"/>
    <w:rsid w:val="00385326"/>
    <w:rsid w:val="00387C82"/>
    <w:rsid w:val="0039218E"/>
    <w:rsid w:val="003C04E1"/>
    <w:rsid w:val="00436F8A"/>
    <w:rsid w:val="00463B9A"/>
    <w:rsid w:val="00486B28"/>
    <w:rsid w:val="0049614A"/>
    <w:rsid w:val="004B20BD"/>
    <w:rsid w:val="004B734B"/>
    <w:rsid w:val="004D3438"/>
    <w:rsid w:val="004E6686"/>
    <w:rsid w:val="00501ED4"/>
    <w:rsid w:val="00532E9E"/>
    <w:rsid w:val="005820D9"/>
    <w:rsid w:val="005B5EF2"/>
    <w:rsid w:val="005B6197"/>
    <w:rsid w:val="005C26B7"/>
    <w:rsid w:val="005D6041"/>
    <w:rsid w:val="005F0A4F"/>
    <w:rsid w:val="00606D4B"/>
    <w:rsid w:val="006518ED"/>
    <w:rsid w:val="00671CE6"/>
    <w:rsid w:val="006864C3"/>
    <w:rsid w:val="006B076C"/>
    <w:rsid w:val="006B1095"/>
    <w:rsid w:val="006B7180"/>
    <w:rsid w:val="006C0501"/>
    <w:rsid w:val="00715F78"/>
    <w:rsid w:val="007339C0"/>
    <w:rsid w:val="00770AA4"/>
    <w:rsid w:val="007B17C0"/>
    <w:rsid w:val="007B590D"/>
    <w:rsid w:val="007C6FD1"/>
    <w:rsid w:val="007D2D28"/>
    <w:rsid w:val="00800D73"/>
    <w:rsid w:val="00802191"/>
    <w:rsid w:val="008B094A"/>
    <w:rsid w:val="008D3728"/>
    <w:rsid w:val="008E092C"/>
    <w:rsid w:val="008F3AA2"/>
    <w:rsid w:val="00914547"/>
    <w:rsid w:val="00914C1B"/>
    <w:rsid w:val="00956EF7"/>
    <w:rsid w:val="009670BC"/>
    <w:rsid w:val="009A6116"/>
    <w:rsid w:val="009B1D68"/>
    <w:rsid w:val="009C2C9D"/>
    <w:rsid w:val="009C447D"/>
    <w:rsid w:val="009C5427"/>
    <w:rsid w:val="009F3DC7"/>
    <w:rsid w:val="00A52768"/>
    <w:rsid w:val="00AE48F9"/>
    <w:rsid w:val="00B84B36"/>
    <w:rsid w:val="00B92A48"/>
    <w:rsid w:val="00BA416B"/>
    <w:rsid w:val="00BA6141"/>
    <w:rsid w:val="00BD71F3"/>
    <w:rsid w:val="00C15279"/>
    <w:rsid w:val="00C727CA"/>
    <w:rsid w:val="00C74003"/>
    <w:rsid w:val="00CA1511"/>
    <w:rsid w:val="00CB3DC4"/>
    <w:rsid w:val="00CE3134"/>
    <w:rsid w:val="00CE7499"/>
    <w:rsid w:val="00D0420D"/>
    <w:rsid w:val="00D14FC5"/>
    <w:rsid w:val="00D347BB"/>
    <w:rsid w:val="00D54A25"/>
    <w:rsid w:val="00D712BB"/>
    <w:rsid w:val="00D91B5C"/>
    <w:rsid w:val="00DA1CDC"/>
    <w:rsid w:val="00DA49BB"/>
    <w:rsid w:val="00DC6051"/>
    <w:rsid w:val="00DC70A5"/>
    <w:rsid w:val="00DE473B"/>
    <w:rsid w:val="00DF4874"/>
    <w:rsid w:val="00E02C23"/>
    <w:rsid w:val="00E142F0"/>
    <w:rsid w:val="00E52194"/>
    <w:rsid w:val="00E852B4"/>
    <w:rsid w:val="00E9295B"/>
    <w:rsid w:val="00F10289"/>
    <w:rsid w:val="00F10A7C"/>
    <w:rsid w:val="00F44271"/>
    <w:rsid w:val="00F46002"/>
    <w:rsid w:val="00F5564D"/>
    <w:rsid w:val="00F8457D"/>
    <w:rsid w:val="00FB4CA7"/>
    <w:rsid w:val="00FE0963"/>
    <w:rsid w:val="00FE7F2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CBA2E"/>
  <w15:chartTrackingRefBased/>
  <w15:docId w15:val="{34CB93E2-90E2-4B1C-9CC0-2751B97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A7C"/>
    <w:pPr>
      <w:keepNext/>
      <w:spacing w:before="240" w:after="60"/>
      <w:outlineLvl w:val="0"/>
    </w:pPr>
    <w:rPr>
      <w:rFonts w:ascii="Cambria" w:eastAsia="Courier New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182D5E"/>
    <w:rPr>
      <w:rFonts w:ascii="Verdana" w:hAnsi="Verdana"/>
      <w:i/>
      <w:sz w:val="19"/>
      <w:shd w:val="clear" w:color="auto" w:fill="FFFFFF"/>
    </w:rPr>
  </w:style>
  <w:style w:type="character" w:customStyle="1" w:styleId="2">
    <w:name w:val="Заголовок №2_"/>
    <w:link w:val="20"/>
    <w:locked/>
    <w:rsid w:val="00182D5E"/>
    <w:rPr>
      <w:rFonts w:ascii="Verdana" w:hAnsi="Verdana"/>
      <w:b/>
      <w:sz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82D5E"/>
    <w:pPr>
      <w:shd w:val="clear" w:color="auto" w:fill="FFFFFF"/>
      <w:spacing w:line="278" w:lineRule="exact"/>
      <w:jc w:val="both"/>
    </w:pPr>
    <w:rPr>
      <w:rFonts w:ascii="Verdana" w:eastAsiaTheme="minorHAnsi" w:hAnsi="Verdana" w:cstheme="minorBidi"/>
      <w:i/>
      <w:color w:val="auto"/>
      <w:sz w:val="19"/>
      <w:szCs w:val="22"/>
      <w:lang w:eastAsia="en-US"/>
    </w:rPr>
  </w:style>
  <w:style w:type="paragraph" w:customStyle="1" w:styleId="20">
    <w:name w:val="Заголовок №2"/>
    <w:basedOn w:val="a"/>
    <w:link w:val="2"/>
    <w:rsid w:val="00182D5E"/>
    <w:pPr>
      <w:shd w:val="clear" w:color="auto" w:fill="FFFFFF"/>
      <w:spacing w:line="278" w:lineRule="exact"/>
      <w:ind w:hanging="860"/>
      <w:jc w:val="both"/>
      <w:outlineLvl w:val="1"/>
    </w:pPr>
    <w:rPr>
      <w:rFonts w:ascii="Verdana" w:eastAsiaTheme="minorHAnsi" w:hAnsi="Verdana" w:cstheme="minorBidi"/>
      <w:b/>
      <w:color w:val="auto"/>
      <w:sz w:val="19"/>
      <w:szCs w:val="22"/>
      <w:lang w:eastAsia="en-US"/>
    </w:rPr>
  </w:style>
  <w:style w:type="paragraph" w:styleId="3">
    <w:name w:val="Body Text 3"/>
    <w:basedOn w:val="a"/>
    <w:link w:val="30"/>
    <w:semiHidden/>
    <w:rsid w:val="00182D5E"/>
    <w:pPr>
      <w:widowControl/>
      <w:jc w:val="both"/>
    </w:pPr>
    <w:rPr>
      <w:rFonts w:cs="Times New Roman"/>
      <w:color w:val="auto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182D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6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10A7C"/>
    <w:rPr>
      <w:rFonts w:ascii="Cambria" w:eastAsia="Courier New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10A7C"/>
    <w:pPr>
      <w:ind w:left="720"/>
      <w:contextualSpacing/>
    </w:pPr>
  </w:style>
  <w:style w:type="character" w:customStyle="1" w:styleId="a4">
    <w:name w:val="Основной текст_"/>
    <w:link w:val="21"/>
    <w:locked/>
    <w:rsid w:val="00307560"/>
    <w:rPr>
      <w:rFonts w:ascii="Verdana" w:hAnsi="Verdana"/>
      <w:sz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307560"/>
    <w:pPr>
      <w:shd w:val="clear" w:color="auto" w:fill="FFFFFF"/>
      <w:spacing w:line="288" w:lineRule="exact"/>
      <w:ind w:hanging="880"/>
      <w:jc w:val="both"/>
    </w:pPr>
    <w:rPr>
      <w:rFonts w:ascii="Verdana" w:eastAsiaTheme="minorHAnsi" w:hAnsi="Verdana" w:cstheme="minorBidi"/>
      <w:color w:val="auto"/>
      <w:sz w:val="19"/>
      <w:szCs w:val="22"/>
      <w:lang w:eastAsia="en-US"/>
    </w:rPr>
  </w:style>
  <w:style w:type="table" w:styleId="a5">
    <w:name w:val="Table Grid"/>
    <w:basedOn w:val="a1"/>
    <w:uiPriority w:val="39"/>
    <w:rsid w:val="00DC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4C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C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D54A2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B73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734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734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73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734B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И.А.</dc:creator>
  <cp:keywords/>
  <dc:description/>
  <cp:lastModifiedBy>Корсакова И.А.</cp:lastModifiedBy>
  <cp:revision>7</cp:revision>
  <cp:lastPrinted>2018-10-30T08:09:00Z</cp:lastPrinted>
  <dcterms:created xsi:type="dcterms:W3CDTF">2018-11-01T09:03:00Z</dcterms:created>
  <dcterms:modified xsi:type="dcterms:W3CDTF">2018-11-01T09:18:00Z</dcterms:modified>
</cp:coreProperties>
</file>